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8EC90">
      <w:pPr>
        <w:pStyle w:val="4"/>
        <w:jc w:val="center"/>
        <w:rPr>
          <w:rFonts w:hint="eastAsia" w:ascii="方正小标宋简体" w:hAnsi="方正小标宋简体" w:eastAsia="方正小标宋简体" w:cs="方正小标宋简体"/>
          <w:b w:val="0"/>
          <w:bCs/>
          <w:color w:val="auto"/>
          <w:kern w:val="2"/>
          <w:szCs w:val="44"/>
          <w:highlight w:val="none"/>
        </w:rPr>
      </w:pPr>
      <w:bookmarkStart w:id="4" w:name="_GoBack"/>
      <w:r>
        <w:rPr>
          <w:rFonts w:hint="eastAsia" w:ascii="方正小标宋简体" w:hAnsi="方正小标宋简体" w:eastAsia="方正小标宋简体" w:cs="方正小标宋简体"/>
          <w:b w:val="0"/>
          <w:bCs/>
          <w:color w:val="auto"/>
          <w:kern w:val="2"/>
          <w:szCs w:val="44"/>
          <w:highlight w:val="none"/>
        </w:rPr>
        <w:t>广州市番禺区区级农村集体资产网上交易文件</w:t>
      </w:r>
    </w:p>
    <w:p w14:paraId="0443DF41">
      <w:pPr>
        <w:rPr>
          <w:color w:val="auto"/>
          <w:highlight w:val="none"/>
        </w:rPr>
      </w:pPr>
      <w:r>
        <w:rPr>
          <w:rFonts w:hint="eastAsia" w:ascii="方正小标宋简体" w:hAnsi="方正小标宋简体" w:eastAsia="方正小标宋简体" w:cs="方正小标宋简体"/>
          <w:bCs/>
          <w:color w:val="auto"/>
          <w:sz w:val="44"/>
          <w:szCs w:val="44"/>
          <w:highlight w:val="none"/>
        </w:rPr>
        <w:t xml:space="preserve">             （试行）</w:t>
      </w:r>
    </w:p>
    <w:p w14:paraId="6C25E3B2">
      <w:pPr>
        <w:rPr>
          <w:rFonts w:ascii="仿宋_GB2312" w:hAnsi="仿宋_GB2312" w:eastAsia="仿宋_GB2312" w:cs="仿宋_GB2312"/>
          <w:color w:val="auto"/>
          <w:highlight w:val="none"/>
        </w:rPr>
      </w:pPr>
    </w:p>
    <w:p w14:paraId="41346D4D">
      <w:pPr>
        <w:rPr>
          <w:rFonts w:ascii="仿宋_GB2312" w:hAnsi="仿宋_GB2312" w:eastAsia="仿宋_GB2312" w:cs="仿宋_GB2312"/>
          <w:color w:val="auto"/>
          <w:highlight w:val="none"/>
        </w:rPr>
      </w:pPr>
    </w:p>
    <w:p w14:paraId="79277FEC">
      <w:pPr>
        <w:rPr>
          <w:rFonts w:ascii="仿宋_GB2312" w:hAnsi="仿宋_GB2312" w:eastAsia="仿宋_GB2312" w:cs="仿宋_GB2312"/>
          <w:color w:val="auto"/>
          <w:highlight w:val="none"/>
        </w:rPr>
      </w:pPr>
    </w:p>
    <w:p w14:paraId="1FA4B8FB">
      <w:pPr>
        <w:rPr>
          <w:rFonts w:ascii="仿宋_GB2312" w:hAnsi="仿宋_GB2312" w:eastAsia="仿宋_GB2312" w:cs="仿宋_GB2312"/>
          <w:color w:val="auto"/>
          <w:highlight w:val="none"/>
        </w:rPr>
      </w:pPr>
    </w:p>
    <w:p w14:paraId="5689314A">
      <w:pPr>
        <w:rPr>
          <w:rFonts w:hint="eastAsia" w:ascii="仿宋_GB2312" w:hAnsi="仿宋_GB2312" w:eastAsia="仿宋_GB2312" w:cs="仿宋_GB2312"/>
          <w:color w:val="auto"/>
          <w:highlight w:val="none"/>
        </w:rPr>
      </w:pPr>
    </w:p>
    <w:p w14:paraId="353F5045">
      <w:pPr>
        <w:rPr>
          <w:rFonts w:hint="eastAsia" w:ascii="仿宋_GB2312" w:hAnsi="仿宋_GB2312" w:eastAsia="仿宋_GB2312" w:cs="仿宋_GB2312"/>
          <w:color w:val="auto"/>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6000"/>
      </w:tblGrid>
      <w:tr w14:paraId="4172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462F3D43">
            <w:pPr>
              <w:jc w:val="distribute"/>
              <w:rPr>
                <w:rFonts w:hint="eastAsia" w:ascii="仿宋_GB2312" w:hAnsi="仿宋_GB2312" w:eastAsia="仿宋_GB2312" w:cs="仿宋_GB2312"/>
                <w:color w:val="auto"/>
                <w:highlight w:val="none"/>
              </w:rPr>
            </w:pPr>
            <w:r>
              <w:rPr>
                <w:rFonts w:hint="eastAsia" w:ascii="宋体" w:hAnsi="宋体" w:cs="宋体"/>
                <w:b/>
                <w:bCs/>
                <w:color w:val="auto"/>
                <w:sz w:val="32"/>
                <w:szCs w:val="32"/>
                <w:highlight w:val="none"/>
              </w:rPr>
              <w:t>项目名称：</w:t>
            </w:r>
          </w:p>
        </w:tc>
        <w:tc>
          <w:tcPr>
            <w:tcW w:w="6000" w:type="dxa"/>
            <w:tcBorders>
              <w:top w:val="nil"/>
              <w:left w:val="nil"/>
              <w:bottom w:val="nil"/>
              <w:right w:val="nil"/>
            </w:tcBorders>
            <w:noWrap w:val="0"/>
            <w:vAlign w:val="top"/>
          </w:tcPr>
          <w:p w14:paraId="09366D89">
            <w:pPr>
              <w:rPr>
                <w:rFonts w:hint="eastAsia" w:ascii="仿宋_GB2312" w:hAnsi="仿宋_GB2312" w:eastAsia="仿宋_GB2312" w:cs="仿宋_GB2312"/>
                <w:color w:val="auto"/>
                <w:highlight w:val="none"/>
              </w:rPr>
            </w:pPr>
            <w:r>
              <w:rPr>
                <w:rFonts w:hint="eastAsia" w:ascii="宋体" w:hAnsi="宋体" w:cs="宋体"/>
                <w:b/>
                <w:bCs/>
                <w:color w:val="auto"/>
                <w:sz w:val="32"/>
                <w:szCs w:val="32"/>
                <w:highlight w:val="none"/>
              </w:rPr>
              <w:t>番禺区</w:t>
            </w:r>
            <w:r>
              <w:rPr>
                <w:rFonts w:hint="eastAsia" w:ascii="宋体" w:hAnsi="宋体" w:cs="宋体"/>
                <w:b/>
                <w:bCs/>
                <w:color w:val="auto"/>
                <w:sz w:val="32"/>
                <w:szCs w:val="32"/>
                <w:highlight w:val="none"/>
                <w:lang w:eastAsia="zh-CN"/>
              </w:rPr>
              <w:t>大龙街</w:t>
            </w:r>
            <w:r>
              <w:rPr>
                <w:rFonts w:hint="eastAsia" w:ascii="宋体" w:hAnsi="宋体" w:cs="宋体"/>
                <w:b/>
                <w:bCs/>
                <w:color w:val="auto"/>
                <w:sz w:val="32"/>
                <w:szCs w:val="32"/>
                <w:highlight w:val="none"/>
              </w:rPr>
              <w:t>大龙村金龙路201-1号（A厂）厂房项目</w:t>
            </w:r>
          </w:p>
        </w:tc>
      </w:tr>
      <w:tr w14:paraId="3E3B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45FE551B">
            <w:pPr>
              <w:jc w:val="distribute"/>
              <w:rPr>
                <w:rFonts w:hint="eastAsia" w:ascii="仿宋_GB2312" w:hAnsi="仿宋_GB2312" w:eastAsia="仿宋_GB2312" w:cs="仿宋_GB2312"/>
                <w:color w:val="auto"/>
                <w:highlight w:val="none"/>
              </w:rPr>
            </w:pPr>
            <w:r>
              <w:rPr>
                <w:rFonts w:hint="eastAsia" w:ascii="宋体" w:hAnsi="宋体" w:cs="宋体"/>
                <w:b/>
                <w:bCs/>
                <w:color w:val="auto"/>
                <w:sz w:val="32"/>
                <w:szCs w:val="32"/>
                <w:highlight w:val="none"/>
              </w:rPr>
              <w:t>交易编号：</w:t>
            </w:r>
          </w:p>
        </w:tc>
        <w:tc>
          <w:tcPr>
            <w:tcW w:w="6000" w:type="dxa"/>
            <w:tcBorders>
              <w:top w:val="nil"/>
              <w:left w:val="nil"/>
              <w:bottom w:val="nil"/>
              <w:right w:val="nil"/>
            </w:tcBorders>
            <w:noWrap w:val="0"/>
            <w:vAlign w:val="top"/>
          </w:tcPr>
          <w:p w14:paraId="1B4748A1">
            <w:pPr>
              <w:rPr>
                <w:rFonts w:hint="eastAsia" w:ascii="仿宋_GB2312" w:hAnsi="仿宋_GB2312" w:eastAsia="仿宋_GB2312" w:cs="仿宋_GB2312"/>
                <w:color w:val="auto"/>
                <w:highlight w:val="none"/>
              </w:rPr>
            </w:pPr>
            <w:r>
              <w:rPr>
                <w:rFonts w:hint="eastAsia" w:ascii="宋体" w:hAnsi="宋体" w:cs="宋体"/>
                <w:b/>
                <w:bCs/>
                <w:color w:val="auto"/>
                <w:sz w:val="32"/>
                <w:szCs w:val="32"/>
                <w:highlight w:val="none"/>
                <w:lang w:eastAsia="zh-CN"/>
              </w:rPr>
              <w:t>区集资电竞20260039</w:t>
            </w:r>
            <w:r>
              <w:rPr>
                <w:rFonts w:hint="eastAsia" w:ascii="宋体" w:hAnsi="宋体" w:cs="宋体"/>
                <w:b/>
                <w:bCs/>
                <w:color w:val="auto"/>
                <w:sz w:val="32"/>
                <w:szCs w:val="32"/>
                <w:highlight w:val="none"/>
              </w:rPr>
              <w:t xml:space="preserve">     </w:t>
            </w:r>
          </w:p>
        </w:tc>
      </w:tr>
      <w:tr w14:paraId="238C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6C4B97C8">
            <w:pPr>
              <w:jc w:val="distribute"/>
              <w:rPr>
                <w:rFonts w:hint="eastAsia" w:ascii="仿宋_GB2312" w:hAnsi="仿宋_GB2312" w:eastAsia="仿宋_GB2312" w:cs="仿宋_GB2312"/>
                <w:color w:val="auto"/>
                <w:highlight w:val="none"/>
              </w:rPr>
            </w:pPr>
            <w:r>
              <w:rPr>
                <w:rFonts w:hint="eastAsia" w:ascii="宋体" w:hAnsi="宋体" w:cs="宋体"/>
                <w:b/>
                <w:bCs/>
                <w:color w:val="auto"/>
                <w:sz w:val="32"/>
                <w:szCs w:val="32"/>
                <w:highlight w:val="none"/>
              </w:rPr>
              <w:t>项目业主单位：</w:t>
            </w:r>
          </w:p>
        </w:tc>
        <w:tc>
          <w:tcPr>
            <w:tcW w:w="6000" w:type="dxa"/>
            <w:tcBorders>
              <w:top w:val="nil"/>
              <w:left w:val="nil"/>
              <w:bottom w:val="nil"/>
              <w:right w:val="nil"/>
            </w:tcBorders>
            <w:noWrap w:val="0"/>
            <w:vAlign w:val="top"/>
          </w:tcPr>
          <w:p w14:paraId="3EB4D29E">
            <w:pPr>
              <w:rPr>
                <w:rFonts w:hint="eastAsia" w:ascii="仿宋_GB2312" w:hAnsi="仿宋_GB2312" w:eastAsia="仿宋_GB2312" w:cs="仿宋_GB2312"/>
                <w:color w:val="auto"/>
                <w:highlight w:val="none"/>
              </w:rPr>
            </w:pPr>
            <w:r>
              <w:rPr>
                <w:rFonts w:hint="eastAsia" w:ascii="宋体" w:hAnsi="宋体" w:cs="宋体"/>
                <w:b/>
                <w:bCs/>
                <w:color w:val="auto"/>
                <w:sz w:val="28"/>
                <w:szCs w:val="28"/>
                <w:highlight w:val="none"/>
              </w:rPr>
              <w:t>广州市番禺区</w:t>
            </w:r>
            <w:r>
              <w:rPr>
                <w:rFonts w:hint="eastAsia" w:ascii="宋体" w:hAnsi="宋体" w:cs="宋体"/>
                <w:b/>
                <w:bCs/>
                <w:color w:val="auto"/>
                <w:sz w:val="28"/>
                <w:szCs w:val="28"/>
                <w:highlight w:val="none"/>
                <w:lang w:eastAsia="zh-CN"/>
              </w:rPr>
              <w:t>大龙街</w:t>
            </w:r>
            <w:r>
              <w:rPr>
                <w:rFonts w:hint="eastAsia" w:ascii="宋体" w:hAnsi="宋体" w:cs="宋体"/>
                <w:b/>
                <w:bCs/>
                <w:color w:val="auto"/>
                <w:sz w:val="28"/>
                <w:szCs w:val="28"/>
                <w:highlight w:val="none"/>
              </w:rPr>
              <w:t>大龙村股份合作经济社</w:t>
            </w:r>
          </w:p>
        </w:tc>
      </w:tr>
      <w:tr w14:paraId="5153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0C582F04">
            <w:pPr>
              <w:jc w:val="distribute"/>
              <w:rPr>
                <w:rFonts w:hint="eastAsia" w:ascii="仿宋_GB2312" w:hAnsi="仿宋_GB2312" w:eastAsia="仿宋_GB2312" w:cs="仿宋_GB2312"/>
                <w:color w:val="auto"/>
                <w:highlight w:val="none"/>
              </w:rPr>
            </w:pPr>
            <w:r>
              <w:rPr>
                <w:rFonts w:hint="eastAsia" w:ascii="宋体" w:hAnsi="宋体" w:cs="宋体"/>
                <w:b/>
                <w:bCs/>
                <w:color w:val="auto"/>
                <w:sz w:val="32"/>
                <w:szCs w:val="32"/>
                <w:highlight w:val="none"/>
              </w:rPr>
              <w:t>交易服务机构：</w:t>
            </w:r>
          </w:p>
        </w:tc>
        <w:tc>
          <w:tcPr>
            <w:tcW w:w="6000" w:type="dxa"/>
            <w:tcBorders>
              <w:top w:val="nil"/>
              <w:left w:val="nil"/>
              <w:bottom w:val="nil"/>
              <w:right w:val="nil"/>
            </w:tcBorders>
            <w:noWrap w:val="0"/>
            <w:vAlign w:val="top"/>
          </w:tcPr>
          <w:p w14:paraId="6170E0BB">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广州市番禺区农村集体资产交易管理中心</w:t>
            </w:r>
          </w:p>
          <w:p w14:paraId="4E109DC7">
            <w:pPr>
              <w:rPr>
                <w:rFonts w:hint="eastAsia" w:ascii="仿宋_GB2312" w:hAnsi="仿宋_GB2312" w:eastAsia="仿宋_GB2312" w:cs="仿宋_GB2312"/>
                <w:color w:val="auto"/>
                <w:highlight w:val="none"/>
              </w:rPr>
            </w:pPr>
          </w:p>
        </w:tc>
      </w:tr>
    </w:tbl>
    <w:p w14:paraId="1DBA3D9F">
      <w:pPr>
        <w:rPr>
          <w:rFonts w:hint="eastAsia" w:ascii="仿宋_GB2312" w:hAnsi="仿宋_GB2312" w:eastAsia="仿宋_GB2312" w:cs="仿宋_GB2312"/>
          <w:color w:val="auto"/>
          <w:highlight w:val="none"/>
        </w:rPr>
      </w:pPr>
    </w:p>
    <w:p w14:paraId="0C086CD3">
      <w:pPr>
        <w:rPr>
          <w:rFonts w:ascii="仿宋_GB2312" w:hAnsi="仿宋_GB2312" w:eastAsia="仿宋_GB2312" w:cs="仿宋_GB2312"/>
          <w:color w:val="auto"/>
          <w:highlight w:val="none"/>
        </w:rPr>
      </w:pPr>
    </w:p>
    <w:p w14:paraId="09CBEDB9">
      <w:pPr>
        <w:rPr>
          <w:rFonts w:ascii="仿宋_GB2312" w:hAnsi="仿宋_GB2312" w:eastAsia="仿宋_GB2312" w:cs="仿宋_GB2312"/>
          <w:b/>
          <w:bCs/>
          <w:color w:val="auto"/>
          <w:highlight w:val="none"/>
        </w:rPr>
      </w:pPr>
    </w:p>
    <w:p w14:paraId="0D642752">
      <w:pPr>
        <w:rPr>
          <w:rFonts w:ascii="仿宋_GB2312" w:hAnsi="仿宋_GB2312" w:eastAsia="仿宋_GB2312" w:cs="仿宋_GB2312"/>
          <w:b/>
          <w:bCs/>
          <w:color w:val="auto"/>
          <w:highlight w:val="none"/>
        </w:rPr>
      </w:pPr>
    </w:p>
    <w:p w14:paraId="0B9D8BD6">
      <w:pPr>
        <w:jc w:val="right"/>
        <w:rPr>
          <w:rFonts w:ascii="仿宋_GB2312" w:hAnsi="仿宋_GB2312" w:eastAsia="仿宋_GB2312" w:cs="仿宋_GB2312"/>
          <w:b/>
          <w:bCs/>
          <w:color w:val="auto"/>
          <w:highlight w:val="none"/>
        </w:rPr>
      </w:pPr>
    </w:p>
    <w:p w14:paraId="37848164">
      <w:pPr>
        <w:ind w:right="964"/>
        <w:rPr>
          <w:rFonts w:ascii="仿宋_GB2312" w:hAnsi="仿宋_GB2312" w:eastAsia="仿宋_GB2312" w:cs="仿宋_GB2312"/>
          <w:b/>
          <w:bCs/>
          <w:color w:val="auto"/>
          <w:highlight w:val="none"/>
        </w:rPr>
      </w:pPr>
    </w:p>
    <w:p w14:paraId="38A1BD54">
      <w:pPr>
        <w:jc w:val="right"/>
        <w:rPr>
          <w:rFonts w:ascii="仿宋_GB2312" w:hAnsi="仿宋_GB2312" w:eastAsia="仿宋_GB2312" w:cs="仿宋_GB2312"/>
          <w:b/>
          <w:bCs/>
          <w:color w:val="auto"/>
          <w:highlight w:val="none"/>
        </w:rPr>
      </w:pPr>
    </w:p>
    <w:p w14:paraId="73D8F4A4">
      <w:pPr>
        <w:jc w:val="center"/>
        <w:rPr>
          <w:rFonts w:ascii="仿宋_GB2312" w:hAnsi="仿宋_GB2312" w:eastAsia="仿宋_GB2312" w:cs="仿宋_GB2312"/>
          <w:b/>
          <w:bCs/>
          <w:color w:val="auto"/>
          <w:highlight w:val="none"/>
        </w:rPr>
      </w:pPr>
    </w:p>
    <w:p w14:paraId="70455239">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广州市番禺区农村集体资产交易管理中心编制</w:t>
      </w:r>
    </w:p>
    <w:p w14:paraId="4B6E457F">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年   月   日</w:t>
      </w:r>
    </w:p>
    <w:p w14:paraId="2A4FC824">
      <w:pPr>
        <w:rPr>
          <w:color w:val="auto"/>
          <w:sz w:val="24"/>
          <w:highlight w:val="none"/>
          <w:shd w:val="clear" w:color="FFFFFF" w:fill="D9D9D9"/>
        </w:rPr>
      </w:pPr>
      <w:r>
        <w:rPr>
          <w:rFonts w:hint="eastAsia" w:ascii="宋体" w:hAnsi="宋体" w:cs="宋体"/>
          <w:b/>
          <w:bCs/>
          <w:color w:val="auto"/>
          <w:szCs w:val="21"/>
          <w:highlight w:val="none"/>
        </w:rPr>
        <w:br w:type="page"/>
      </w:r>
      <w:r>
        <w:rPr>
          <w:rFonts w:hint="eastAsia" w:ascii="方正小标宋简体" w:hAnsi="方正小标宋简体" w:eastAsia="方正小标宋简体" w:cs="方正小标宋简体"/>
          <w:bCs/>
          <w:color w:val="auto"/>
          <w:sz w:val="24"/>
          <w:highlight w:val="none"/>
          <w:shd w:val="clear" w:color="FFFFFF" w:fill="D9D9D9"/>
        </w:rPr>
        <w:t>广州市番禺区区级农村集体资产网上交易文件（2025年样本）</w:t>
      </w:r>
    </w:p>
    <w:p w14:paraId="6041004C">
      <w:pPr>
        <w:jc w:val="center"/>
        <w:rPr>
          <w:rFonts w:hint="eastAsia" w:ascii="仿宋_GB2312" w:hAnsi="仿宋_GB2312" w:eastAsia="仿宋_GB2312" w:cs="仿宋_GB2312"/>
          <w:b/>
          <w:bCs/>
          <w:color w:val="auto"/>
          <w:sz w:val="44"/>
          <w:szCs w:val="44"/>
          <w:highlight w:val="none"/>
        </w:rPr>
      </w:pPr>
    </w:p>
    <w:p w14:paraId="4E6C14E1">
      <w:pPr>
        <w:jc w:val="center"/>
        <w:rPr>
          <w:rFonts w:hint="eastAsia" w:ascii="仿宋_GB2312" w:hAnsi="仿宋_GB2312" w:eastAsia="仿宋_GB2312" w:cs="仿宋_GB2312"/>
          <w:b/>
          <w:bCs/>
          <w:color w:val="auto"/>
          <w:sz w:val="44"/>
          <w:szCs w:val="44"/>
          <w:highlight w:val="none"/>
        </w:rPr>
      </w:pPr>
    </w:p>
    <w:p w14:paraId="1E34654B">
      <w:pPr>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目      录</w:t>
      </w:r>
    </w:p>
    <w:p w14:paraId="20193BC8">
      <w:pPr>
        <w:rPr>
          <w:rFonts w:ascii="仿宋_GB2312" w:hAnsi="仿宋_GB2312" w:eastAsia="仿宋_GB2312" w:cs="仿宋_GB2312"/>
          <w:b/>
          <w:bCs/>
          <w:color w:val="auto"/>
          <w:sz w:val="44"/>
          <w:szCs w:val="44"/>
          <w:highlight w:val="none"/>
        </w:rPr>
      </w:pPr>
    </w:p>
    <w:p w14:paraId="41EDDF52">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第一章  竞投邀请函</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sz w:val="32"/>
          <w:szCs w:val="32"/>
          <w:highlight w:val="none"/>
        </w:rPr>
        <w:t>XX</w:t>
      </w:r>
    </w:p>
    <w:p w14:paraId="228CD7B3">
      <w:pPr>
        <w:rPr>
          <w:rFonts w:ascii="仿宋_GB2312" w:hAnsi="仿宋_GB2312" w:eastAsia="仿宋_GB2312" w:cs="仿宋_GB2312"/>
          <w:color w:val="auto"/>
          <w:sz w:val="32"/>
          <w:szCs w:val="32"/>
          <w:highlight w:val="none"/>
        </w:rPr>
      </w:pPr>
    </w:p>
    <w:p w14:paraId="0D1CE1F6">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第二章  合同格式</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32"/>
          <w:szCs w:val="32"/>
          <w:highlight w:val="none"/>
        </w:rPr>
        <w:t xml:space="preserve"> XX</w:t>
      </w:r>
    </w:p>
    <w:p w14:paraId="36BC5DAC">
      <w:pPr>
        <w:rPr>
          <w:rFonts w:ascii="仿宋_GB2312" w:hAnsi="仿宋_GB2312" w:eastAsia="仿宋_GB2312" w:cs="仿宋_GB2312"/>
          <w:color w:val="auto"/>
          <w:sz w:val="32"/>
          <w:szCs w:val="32"/>
          <w:highlight w:val="none"/>
        </w:rPr>
      </w:pPr>
    </w:p>
    <w:p w14:paraId="7CA4413A">
      <w:pPr>
        <w:rPr>
          <w:rFonts w:ascii="仿宋_GB2312" w:hAnsi="仿宋_GB2312" w:eastAsia="仿宋_GB2312" w:cs="仿宋_GB2312"/>
          <w:b/>
          <w:bCs/>
          <w:color w:val="auto"/>
          <w:sz w:val="32"/>
          <w:szCs w:val="32"/>
          <w:highlight w:val="none"/>
        </w:rPr>
      </w:pPr>
    </w:p>
    <w:p w14:paraId="7DB0AAB4">
      <w:pPr>
        <w:rPr>
          <w:rFonts w:ascii="仿宋_GB2312" w:hAnsi="仿宋_GB2312" w:eastAsia="仿宋_GB2312" w:cs="仿宋_GB2312"/>
          <w:b/>
          <w:bCs/>
          <w:color w:val="auto"/>
          <w:sz w:val="32"/>
          <w:szCs w:val="32"/>
          <w:highlight w:val="none"/>
        </w:rPr>
      </w:pPr>
    </w:p>
    <w:p w14:paraId="3D39A267">
      <w:pPr>
        <w:rPr>
          <w:rFonts w:ascii="仿宋_GB2312" w:hAnsi="仿宋_GB2312" w:eastAsia="仿宋_GB2312" w:cs="仿宋_GB2312"/>
          <w:b/>
          <w:bCs/>
          <w:color w:val="auto"/>
          <w:sz w:val="32"/>
          <w:szCs w:val="32"/>
          <w:highlight w:val="none"/>
        </w:rPr>
      </w:pPr>
    </w:p>
    <w:p w14:paraId="507EFBE2">
      <w:pPr>
        <w:rPr>
          <w:rFonts w:ascii="仿宋_GB2312" w:hAnsi="仿宋_GB2312" w:eastAsia="仿宋_GB2312" w:cs="仿宋_GB2312"/>
          <w:b/>
          <w:bCs/>
          <w:color w:val="auto"/>
          <w:sz w:val="32"/>
          <w:szCs w:val="32"/>
          <w:highlight w:val="none"/>
        </w:rPr>
      </w:pPr>
    </w:p>
    <w:p w14:paraId="6242A293">
      <w:pPr>
        <w:rPr>
          <w:rFonts w:ascii="仿宋_GB2312" w:hAnsi="仿宋_GB2312" w:eastAsia="仿宋_GB2312" w:cs="仿宋_GB2312"/>
          <w:b/>
          <w:bCs/>
          <w:color w:val="auto"/>
          <w:sz w:val="32"/>
          <w:szCs w:val="32"/>
          <w:highlight w:val="none"/>
        </w:rPr>
      </w:pPr>
    </w:p>
    <w:p w14:paraId="38A9FF1A">
      <w:pPr>
        <w:rPr>
          <w:rFonts w:ascii="仿宋_GB2312" w:hAnsi="仿宋_GB2312" w:eastAsia="仿宋_GB2312" w:cs="仿宋_GB2312"/>
          <w:b/>
          <w:bCs/>
          <w:color w:val="auto"/>
          <w:sz w:val="32"/>
          <w:szCs w:val="32"/>
          <w:highlight w:val="none"/>
        </w:rPr>
      </w:pPr>
    </w:p>
    <w:p w14:paraId="3157A1CF">
      <w:pPr>
        <w:rPr>
          <w:rFonts w:ascii="仿宋_GB2312" w:hAnsi="仿宋_GB2312" w:eastAsia="仿宋_GB2312" w:cs="仿宋_GB2312"/>
          <w:b/>
          <w:bCs/>
          <w:color w:val="auto"/>
          <w:sz w:val="32"/>
          <w:szCs w:val="32"/>
          <w:highlight w:val="none"/>
        </w:rPr>
      </w:pPr>
    </w:p>
    <w:p w14:paraId="24ABCFD2">
      <w:pPr>
        <w:pStyle w:val="2"/>
        <w:ind w:firstLine="210"/>
        <w:rPr>
          <w:color w:val="auto"/>
          <w:highlight w:val="none"/>
        </w:rPr>
      </w:pPr>
    </w:p>
    <w:p w14:paraId="6D6C2D7A">
      <w:pPr>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 xml:space="preserve">第一章 </w:t>
      </w:r>
      <w:bookmarkStart w:id="0" w:name="_Toc6726"/>
      <w:r>
        <w:rPr>
          <w:rFonts w:hint="eastAsia" w:ascii="方正小标宋简体" w:hAnsi="方正小标宋简体" w:eastAsia="方正小标宋简体" w:cs="方正小标宋简体"/>
          <w:bCs/>
          <w:color w:val="auto"/>
          <w:sz w:val="44"/>
          <w:szCs w:val="44"/>
          <w:highlight w:val="none"/>
        </w:rPr>
        <w:t>竞投邀请函</w:t>
      </w:r>
      <w:bookmarkEnd w:id="0"/>
    </w:p>
    <w:p w14:paraId="5B2D4293">
      <w:pPr>
        <w:rPr>
          <w:rFonts w:ascii="仿宋_GB2312" w:hAnsi="仿宋_GB2312" w:eastAsia="仿宋_GB2312" w:cs="仿宋_GB2312"/>
          <w:color w:val="auto"/>
          <w:highlight w:val="none"/>
        </w:rPr>
      </w:pPr>
    </w:p>
    <w:p w14:paraId="48EAB427">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广州市番禺区农村集体资产交易管理中心（以下简称：区交易中心）受</w:t>
      </w:r>
      <w:r>
        <w:rPr>
          <w:rFonts w:hint="eastAsia" w:ascii="宋体" w:hAnsi="宋体" w:cs="宋体"/>
          <w:color w:val="auto"/>
          <w:sz w:val="28"/>
          <w:szCs w:val="28"/>
          <w:highlight w:val="none"/>
          <w:u w:val="single"/>
        </w:rPr>
        <w:t>广州市番禺区</w:t>
      </w:r>
      <w:r>
        <w:rPr>
          <w:rFonts w:hint="eastAsia" w:ascii="宋体" w:hAnsi="宋体" w:cs="宋体"/>
          <w:color w:val="auto"/>
          <w:sz w:val="28"/>
          <w:szCs w:val="28"/>
          <w:highlight w:val="none"/>
          <w:u w:val="single"/>
          <w:lang w:eastAsia="zh-CN"/>
        </w:rPr>
        <w:t>大龙街</w:t>
      </w:r>
      <w:r>
        <w:rPr>
          <w:rFonts w:hint="eastAsia" w:ascii="宋体" w:hAnsi="宋体" w:cs="宋体"/>
          <w:color w:val="auto"/>
          <w:sz w:val="28"/>
          <w:szCs w:val="28"/>
          <w:highlight w:val="none"/>
          <w:u w:val="single"/>
        </w:rPr>
        <w:t>大龙村股份合作经济社</w:t>
      </w:r>
      <w:r>
        <w:rPr>
          <w:rFonts w:hint="eastAsia" w:ascii="宋体" w:hAnsi="宋体" w:cs="宋体"/>
          <w:color w:val="auto"/>
          <w:sz w:val="28"/>
          <w:szCs w:val="28"/>
          <w:highlight w:val="none"/>
        </w:rPr>
        <w:t>（以下简称：项目业主单位）委托,定于</w:t>
      </w:r>
      <w:r>
        <w:rPr>
          <w:rFonts w:hint="eastAsia" w:ascii="宋体" w:hAnsi="宋体" w:cs="宋体"/>
          <w:color w:val="auto"/>
          <w:sz w:val="28"/>
          <w:szCs w:val="28"/>
          <w:highlight w:val="none"/>
          <w:u w:val="single"/>
        </w:rPr>
        <w:t>202</w:t>
      </w:r>
      <w:r>
        <w:rPr>
          <w:rFonts w:hint="eastAsia" w:ascii="宋体" w:hAnsi="宋体" w:cs="宋体"/>
          <w:color w:val="auto"/>
          <w:sz w:val="28"/>
          <w:szCs w:val="28"/>
          <w:highlight w:val="none"/>
          <w:u w:val="single"/>
          <w:lang w:val="en-US" w:eastAsia="zh-CN"/>
        </w:rPr>
        <w:t>6年4月7日16</w:t>
      </w:r>
      <w:r>
        <w:rPr>
          <w:rFonts w:hint="eastAsia" w:ascii="宋体" w:hAnsi="宋体" w:cs="宋体"/>
          <w:color w:val="auto"/>
          <w:sz w:val="28"/>
          <w:szCs w:val="28"/>
          <w:highlight w:val="none"/>
          <w:u w:val="single"/>
        </w:rPr>
        <w:t>时</w:t>
      </w:r>
      <w:r>
        <w:rPr>
          <w:rFonts w:hint="eastAsia" w:ascii="宋体" w:hAnsi="宋体" w:cs="宋体"/>
          <w:color w:val="auto"/>
          <w:sz w:val="28"/>
          <w:szCs w:val="28"/>
          <w:highlight w:val="none"/>
        </w:rPr>
        <w:t>对</w:t>
      </w:r>
      <w:r>
        <w:rPr>
          <w:rFonts w:hint="eastAsia" w:ascii="宋体" w:hAnsi="宋体" w:cs="宋体"/>
          <w:color w:val="auto"/>
          <w:sz w:val="28"/>
          <w:szCs w:val="28"/>
          <w:highlight w:val="none"/>
          <w:u w:val="single"/>
        </w:rPr>
        <w:t>番禺区</w:t>
      </w:r>
      <w:r>
        <w:rPr>
          <w:rFonts w:hint="eastAsia" w:ascii="宋体" w:hAnsi="宋体" w:cs="宋体"/>
          <w:color w:val="auto"/>
          <w:sz w:val="28"/>
          <w:szCs w:val="28"/>
          <w:highlight w:val="none"/>
          <w:u w:val="single"/>
          <w:lang w:eastAsia="zh-CN"/>
        </w:rPr>
        <w:t>大龙街</w:t>
      </w:r>
      <w:r>
        <w:rPr>
          <w:rFonts w:hint="eastAsia" w:ascii="宋体" w:hAnsi="宋体" w:cs="宋体"/>
          <w:color w:val="auto"/>
          <w:sz w:val="28"/>
          <w:szCs w:val="28"/>
          <w:highlight w:val="none"/>
          <w:u w:val="single"/>
        </w:rPr>
        <w:t>大龙村金龙路201-1号（A厂）厂房项目</w:t>
      </w:r>
      <w:r>
        <w:rPr>
          <w:rFonts w:hint="eastAsia" w:ascii="宋体" w:hAnsi="宋体" w:cs="宋体"/>
          <w:color w:val="auto"/>
          <w:sz w:val="28"/>
          <w:szCs w:val="28"/>
          <w:highlight w:val="none"/>
        </w:rPr>
        <w:t>（交易编号：</w:t>
      </w:r>
      <w:r>
        <w:rPr>
          <w:rFonts w:hint="eastAsia" w:ascii="宋体" w:hAnsi="宋体" w:cs="宋体"/>
          <w:color w:val="auto"/>
          <w:sz w:val="28"/>
          <w:szCs w:val="28"/>
          <w:highlight w:val="none"/>
          <w:u w:val="single"/>
          <w:lang w:val="en-US" w:eastAsia="zh-CN"/>
        </w:rPr>
        <w:t>区集资电竞20260039</w:t>
      </w:r>
      <w:r>
        <w:rPr>
          <w:rFonts w:hint="eastAsia" w:ascii="宋体" w:hAnsi="宋体" w:cs="宋体"/>
          <w:color w:val="auto"/>
          <w:sz w:val="28"/>
          <w:szCs w:val="28"/>
          <w:highlight w:val="none"/>
        </w:rPr>
        <w:t>）组织网上竞投，欢迎有意参加竞投的人士参与竞投。竞投指引及相关提醒详见《网上交易竞投人须知》。</w:t>
      </w:r>
    </w:p>
    <w:p w14:paraId="6FFDEF13">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次交易是根据广州市人民政府第119号令《广州市农村集体资产交易管理办法》相关规定进行公开竞投，不属于公开招投标。区交易中心组织的交易行为仅为代理行为，区交易中心不对交易标的资产的质量瑕疵、权属瑕疵、交付以及合同违约等承担过错赔偿或违约责任。</w:t>
      </w:r>
    </w:p>
    <w:p w14:paraId="6EF9030F">
      <w:pPr>
        <w:spacing w:line="440" w:lineRule="exact"/>
        <w:ind w:firstLine="562" w:firstLineChars="200"/>
        <w:rPr>
          <w:rFonts w:hint="default" w:ascii="仿宋" w:hAnsi="仿宋" w:eastAsia="仿宋" w:cs="仿宋"/>
          <w:b/>
          <w:bCs/>
          <w:color w:val="auto"/>
          <w:sz w:val="28"/>
          <w:szCs w:val="28"/>
          <w:highlight w:val="none"/>
          <w:u w:val="single"/>
          <w:lang w:val="en-US"/>
        </w:rPr>
      </w:pPr>
      <w:r>
        <w:rPr>
          <w:rFonts w:hint="eastAsia" w:ascii="仿宋" w:hAnsi="仿宋" w:eastAsia="仿宋" w:cs="仿宋"/>
          <w:b/>
          <w:bCs/>
          <w:color w:val="auto"/>
          <w:sz w:val="28"/>
          <w:szCs w:val="28"/>
          <w:highlight w:val="none"/>
          <w:u w:val="single"/>
        </w:rPr>
        <w:t>重要提示：交易保证金以报名截止时间前转入到指定接收交易保证金专用账户为准，提前、逾期恕不接受报名。报名截止后，竞投人将无法报名，请竞投人务必充分考虑系统延迟、资料补充等问题，合理预留报名所需的时间，建议在报名截止日前一天完成网上报名登记手续。</w:t>
      </w:r>
      <w:r>
        <w:rPr>
          <w:rFonts w:hint="eastAsia" w:ascii="仿宋" w:hAnsi="仿宋" w:eastAsia="仿宋" w:cs="仿宋"/>
          <w:color w:val="auto"/>
          <w:sz w:val="28"/>
          <w:szCs w:val="28"/>
          <w:highlight w:val="none"/>
        </w:rPr>
        <w:t>网上报名时</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rPr>
        <w:t>上传</w:t>
      </w:r>
      <w:r>
        <w:rPr>
          <w:rFonts w:hint="eastAsia" w:ascii="仿宋" w:hAnsi="仿宋" w:eastAsia="仿宋" w:cs="仿宋"/>
          <w:color w:val="auto"/>
          <w:sz w:val="28"/>
          <w:szCs w:val="28"/>
          <w:highlight w:val="none"/>
          <w:lang w:val="en-US" w:eastAsia="zh-CN"/>
        </w:rPr>
        <w:t>了主张优先承租权资料</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经审核不符合主张优先权条件</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lang w:eastAsia="zh-CN"/>
        </w:rPr>
        <w:t>将无法</w:t>
      </w:r>
      <w:r>
        <w:rPr>
          <w:rFonts w:hint="eastAsia" w:ascii="仿宋" w:hAnsi="仿宋" w:eastAsia="仿宋" w:cs="仿宋"/>
          <w:color w:val="auto"/>
          <w:sz w:val="28"/>
          <w:szCs w:val="28"/>
          <w:highlight w:val="none"/>
          <w:lang w:val="en-US" w:eastAsia="zh-CN"/>
        </w:rPr>
        <w:t>通过</w:t>
      </w:r>
      <w:r>
        <w:rPr>
          <w:rFonts w:hint="eastAsia" w:ascii="仿宋" w:hAnsi="仿宋" w:eastAsia="仿宋" w:cs="仿宋"/>
          <w:color w:val="auto"/>
          <w:sz w:val="28"/>
          <w:szCs w:val="28"/>
          <w:highlight w:val="none"/>
          <w:lang w:eastAsia="zh-CN"/>
        </w:rPr>
        <w:t>报名</w:t>
      </w:r>
      <w:r>
        <w:rPr>
          <w:rFonts w:hint="eastAsia" w:ascii="仿宋" w:hAnsi="仿宋" w:eastAsia="仿宋" w:cs="仿宋"/>
          <w:color w:val="auto"/>
          <w:sz w:val="28"/>
          <w:szCs w:val="28"/>
          <w:highlight w:val="none"/>
          <w:lang w:val="en-US" w:eastAsia="zh-CN"/>
        </w:rPr>
        <w:t>审核。</w:t>
      </w:r>
    </w:p>
    <w:p w14:paraId="165F1DF9">
      <w:pPr>
        <w:spacing w:line="440" w:lineRule="exact"/>
        <w:ind w:firstLine="560" w:firstLineChars="200"/>
        <w:rPr>
          <w:rFonts w:hint="eastAsia"/>
          <w:color w:val="auto"/>
          <w:highlight w:val="none"/>
        </w:rPr>
      </w:pPr>
      <w:r>
        <w:rPr>
          <w:rFonts w:hint="eastAsia" w:ascii="宋体" w:hAnsi="宋体" w:cs="宋体"/>
          <w:color w:val="auto"/>
          <w:sz w:val="28"/>
          <w:szCs w:val="28"/>
          <w:highlight w:val="none"/>
        </w:rPr>
        <w:t xml:space="preserve">        </w:t>
      </w:r>
    </w:p>
    <w:p w14:paraId="23EA2BFB">
      <w:pPr>
        <w:numPr>
          <w:ilvl w:val="0"/>
          <w:numId w:val="1"/>
        </w:numPr>
        <w:spacing w:line="440" w:lineRule="exact"/>
        <w:ind w:firstLine="560"/>
        <w:rPr>
          <w:rFonts w:hint="eastAsia" w:ascii="宋体" w:hAnsi="宋体" w:cs="宋体"/>
          <w:color w:val="auto"/>
          <w:sz w:val="28"/>
          <w:szCs w:val="28"/>
          <w:highlight w:val="none"/>
        </w:rPr>
      </w:pPr>
      <w:r>
        <w:rPr>
          <w:rFonts w:hint="eastAsia" w:ascii="宋体" w:hAnsi="宋体" w:cs="宋体"/>
          <w:b/>
          <w:bCs/>
          <w:color w:val="auto"/>
          <w:sz w:val="28"/>
          <w:szCs w:val="28"/>
          <w:highlight w:val="none"/>
        </w:rPr>
        <w:t>竞投人准入条件</w:t>
      </w:r>
    </w:p>
    <w:p w14:paraId="4B135036">
      <w:pPr>
        <w:spacing w:line="44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lang w:eastAsia="zh-CN"/>
        </w:rPr>
        <w:t>（一）</w:t>
      </w:r>
      <w:r>
        <w:rPr>
          <w:rFonts w:hint="eastAsia" w:ascii="宋体" w:hAnsi="宋体" w:cs="宋体"/>
          <w:color w:val="auto"/>
          <w:sz w:val="28"/>
          <w:szCs w:val="28"/>
          <w:highlight w:val="none"/>
        </w:rPr>
        <w:t>竞投人种类和资质（详见《网上交易竞投人须知》第一项“关于竞投人种类的说明”）应满足以下条件：</w:t>
      </w:r>
    </w:p>
    <w:tbl>
      <w:tblPr>
        <w:tblStyle w:val="8"/>
        <w:tblW w:w="8761" w:type="dxa"/>
        <w:tblInd w:w="93" w:type="dxa"/>
        <w:tblLayout w:type="autofit"/>
        <w:tblCellMar>
          <w:top w:w="0" w:type="dxa"/>
          <w:left w:w="108" w:type="dxa"/>
          <w:bottom w:w="0" w:type="dxa"/>
          <w:right w:w="108" w:type="dxa"/>
        </w:tblCellMar>
      </w:tblPr>
      <w:tblGrid>
        <w:gridCol w:w="857"/>
        <w:gridCol w:w="1282"/>
        <w:gridCol w:w="482"/>
        <w:gridCol w:w="2322"/>
        <w:gridCol w:w="1168"/>
        <w:gridCol w:w="1567"/>
        <w:gridCol w:w="1083"/>
      </w:tblGrid>
      <w:tr w14:paraId="1714B2D0">
        <w:tblPrEx>
          <w:tblCellMar>
            <w:top w:w="0" w:type="dxa"/>
            <w:left w:w="108" w:type="dxa"/>
            <w:bottom w:w="0" w:type="dxa"/>
            <w:right w:w="108" w:type="dxa"/>
          </w:tblCellMar>
        </w:tblPrEx>
        <w:trPr>
          <w:trHeight w:val="649" w:hRule="atLeast"/>
          <w:tblHeader/>
        </w:trPr>
        <w:tc>
          <w:tcPr>
            <w:tcW w:w="857" w:type="dxa"/>
            <w:tcBorders>
              <w:top w:val="single" w:color="auto" w:sz="4" w:space="0"/>
              <w:left w:val="single" w:color="auto" w:sz="4" w:space="0"/>
              <w:bottom w:val="single" w:color="auto" w:sz="4" w:space="0"/>
              <w:right w:val="single" w:color="auto" w:sz="4" w:space="0"/>
            </w:tcBorders>
            <w:noWrap w:val="0"/>
            <w:vAlign w:val="center"/>
          </w:tcPr>
          <w:p w14:paraId="49193E07">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竞投人种类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B99D62F">
            <w:pPr>
              <w:widowControl/>
              <w:jc w:val="center"/>
              <w:textAlignment w:val="center"/>
              <w:rPr>
                <w:rFonts w:hint="eastAsia" w:ascii="宋体" w:hAnsi="宋体" w:cs="宋体"/>
                <w:b/>
                <w:bCs/>
                <w:color w:val="auto"/>
                <w:szCs w:val="21"/>
                <w:highlight w:val="none"/>
              </w:rPr>
            </w:pPr>
            <w:r>
              <w:rPr>
                <w:rStyle w:val="11"/>
                <w:rFonts w:hint="default"/>
                <w:color w:val="auto"/>
                <w:highlight w:val="none"/>
                <w:lang w:bidi="ar"/>
              </w:rPr>
              <w:t>证照、资格条件</w:t>
            </w:r>
          </w:p>
        </w:tc>
        <w:tc>
          <w:tcPr>
            <w:tcW w:w="482" w:type="dxa"/>
            <w:tcBorders>
              <w:top w:val="single" w:color="auto" w:sz="4" w:space="0"/>
              <w:left w:val="single" w:color="auto" w:sz="4" w:space="0"/>
              <w:bottom w:val="single" w:color="auto" w:sz="4" w:space="0"/>
              <w:right w:val="single" w:color="auto" w:sz="4" w:space="0"/>
            </w:tcBorders>
            <w:noWrap w:val="0"/>
            <w:vAlign w:val="center"/>
          </w:tcPr>
          <w:p w14:paraId="485A691E">
            <w:pPr>
              <w:widowControl/>
              <w:jc w:val="center"/>
              <w:textAlignment w:val="center"/>
              <w:rPr>
                <w:rFonts w:hint="eastAsia" w:ascii="宋体" w:hAnsi="宋体" w:cs="宋体"/>
                <w:b/>
                <w:bCs/>
                <w:color w:val="auto"/>
                <w:szCs w:val="21"/>
                <w:highlight w:val="none"/>
              </w:rPr>
            </w:pPr>
            <w:r>
              <w:rPr>
                <w:rStyle w:val="11"/>
                <w:rFonts w:hint="default"/>
                <w:color w:val="auto"/>
                <w:highlight w:val="none"/>
                <w:lang w:bidi="ar"/>
              </w:rPr>
              <w:t>序号</w:t>
            </w:r>
          </w:p>
        </w:tc>
        <w:tc>
          <w:tcPr>
            <w:tcW w:w="2322" w:type="dxa"/>
            <w:tcBorders>
              <w:top w:val="single" w:color="auto" w:sz="4" w:space="0"/>
              <w:left w:val="single" w:color="auto" w:sz="4" w:space="0"/>
              <w:bottom w:val="single" w:color="auto" w:sz="4" w:space="0"/>
              <w:right w:val="single" w:color="auto" w:sz="4" w:space="0"/>
            </w:tcBorders>
            <w:noWrap w:val="0"/>
            <w:vAlign w:val="center"/>
          </w:tcPr>
          <w:p w14:paraId="6E3BDE6D">
            <w:pPr>
              <w:widowControl/>
              <w:jc w:val="center"/>
              <w:textAlignment w:val="center"/>
              <w:rPr>
                <w:rFonts w:hint="eastAsia" w:ascii="宋体" w:hAnsi="宋体" w:cs="宋体"/>
                <w:b/>
                <w:bCs/>
                <w:color w:val="auto"/>
                <w:szCs w:val="21"/>
                <w:highlight w:val="none"/>
              </w:rPr>
            </w:pPr>
            <w:r>
              <w:rPr>
                <w:rStyle w:val="11"/>
                <w:rFonts w:hint="default"/>
                <w:color w:val="auto"/>
                <w:highlight w:val="none"/>
                <w:lang w:bidi="ar"/>
              </w:rPr>
              <w:t>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4FDC22F">
            <w:pPr>
              <w:widowControl/>
              <w:jc w:val="center"/>
              <w:textAlignment w:val="center"/>
              <w:rPr>
                <w:rFonts w:hint="eastAsia" w:ascii="宋体" w:hAnsi="宋体" w:cs="宋体"/>
                <w:b/>
                <w:bCs/>
                <w:color w:val="auto"/>
                <w:szCs w:val="21"/>
                <w:highlight w:val="none"/>
              </w:rPr>
            </w:pPr>
            <w:r>
              <w:rPr>
                <w:rStyle w:val="11"/>
                <w:rFonts w:hint="default"/>
                <w:color w:val="auto"/>
                <w:highlight w:val="none"/>
                <w:lang w:bidi="ar"/>
              </w:rPr>
              <w:t>发证</w:t>
            </w:r>
            <w:r>
              <w:rPr>
                <w:rFonts w:cs="Calibri"/>
                <w:b/>
                <w:bCs/>
                <w:color w:val="auto"/>
                <w:kern w:val="0"/>
                <w:szCs w:val="21"/>
                <w:highlight w:val="none"/>
                <w:lang w:bidi="ar"/>
              </w:rPr>
              <w:t>/</w:t>
            </w:r>
            <w:r>
              <w:rPr>
                <w:rStyle w:val="11"/>
                <w:rFonts w:hint="default"/>
                <w:color w:val="auto"/>
                <w:highlight w:val="none"/>
                <w:lang w:bidi="ar"/>
              </w:rPr>
              <w:t>登记机关</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CA0A084">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线上资料提供方式</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71619E3">
            <w:pPr>
              <w:widowControl/>
              <w:jc w:val="center"/>
              <w:textAlignment w:val="center"/>
              <w:rPr>
                <w:rFonts w:hint="eastAsia" w:ascii="宋体" w:hAnsi="宋体" w:cs="宋体"/>
                <w:b/>
                <w:bCs/>
                <w:color w:val="auto"/>
                <w:szCs w:val="21"/>
                <w:highlight w:val="none"/>
              </w:rPr>
            </w:pPr>
            <w:r>
              <w:rPr>
                <w:rStyle w:val="11"/>
                <w:rFonts w:hint="default"/>
                <w:color w:val="auto"/>
                <w:highlight w:val="none"/>
                <w:lang w:bidi="ar"/>
              </w:rPr>
              <w:t>备注</w:t>
            </w:r>
          </w:p>
        </w:tc>
      </w:tr>
      <w:tr w14:paraId="00D56DE0">
        <w:tblPrEx>
          <w:tblCellMar>
            <w:top w:w="0" w:type="dxa"/>
            <w:left w:w="108" w:type="dxa"/>
            <w:bottom w:w="0" w:type="dxa"/>
            <w:right w:w="108" w:type="dxa"/>
          </w:tblCellMar>
        </w:tblPrEx>
        <w:trPr>
          <w:trHeight w:val="987"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14:paraId="1FC2235A">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营利</w:t>
            </w:r>
          </w:p>
          <w:p w14:paraId="11ADA987">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法人</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21A4CE8">
            <w:pPr>
              <w:widowControl/>
              <w:jc w:val="center"/>
              <w:textAlignment w:val="center"/>
              <w:rPr>
                <w:rFonts w:hint="eastAsia" w:ascii="宋体" w:hAnsi="宋体" w:cs="宋体"/>
                <w:b/>
                <w:bCs/>
                <w:color w:val="auto"/>
                <w:szCs w:val="21"/>
                <w:highlight w:val="none"/>
              </w:rPr>
            </w:pPr>
            <w:r>
              <w:rPr>
                <w:rStyle w:val="11"/>
                <w:rFonts w:hint="default"/>
                <w:color w:val="auto"/>
                <w:highlight w:val="none"/>
                <w:lang w:bidi="ar"/>
              </w:rPr>
              <w:t>营业执照</w:t>
            </w:r>
          </w:p>
        </w:tc>
        <w:tc>
          <w:tcPr>
            <w:tcW w:w="482" w:type="dxa"/>
            <w:tcBorders>
              <w:top w:val="single" w:color="auto" w:sz="4" w:space="0"/>
              <w:left w:val="single" w:color="auto" w:sz="4" w:space="0"/>
              <w:bottom w:val="single" w:color="auto" w:sz="4" w:space="0"/>
              <w:right w:val="single" w:color="auto" w:sz="4" w:space="0"/>
            </w:tcBorders>
            <w:noWrap w:val="0"/>
            <w:vAlign w:val="center"/>
          </w:tcPr>
          <w:p w14:paraId="42256728">
            <w:pPr>
              <w:widowControl/>
              <w:jc w:val="center"/>
              <w:textAlignment w:val="center"/>
              <w:rPr>
                <w:rFonts w:cs="Calibri"/>
                <w:color w:val="auto"/>
                <w:szCs w:val="21"/>
                <w:highlight w:val="none"/>
              </w:rPr>
            </w:pPr>
            <w:r>
              <w:rPr>
                <w:rFonts w:cs="Calibri"/>
                <w:color w:val="auto"/>
                <w:kern w:val="0"/>
                <w:szCs w:val="21"/>
                <w:highlight w:val="none"/>
                <w:lang w:bidi="ar"/>
              </w:rPr>
              <w:t>1.1</w:t>
            </w:r>
          </w:p>
        </w:tc>
        <w:tc>
          <w:tcPr>
            <w:tcW w:w="2322" w:type="dxa"/>
            <w:tcBorders>
              <w:top w:val="single" w:color="auto" w:sz="4" w:space="0"/>
              <w:left w:val="single" w:color="auto" w:sz="4" w:space="0"/>
              <w:bottom w:val="single" w:color="auto" w:sz="4" w:space="0"/>
              <w:right w:val="single" w:color="auto" w:sz="4" w:space="0"/>
            </w:tcBorders>
            <w:noWrap w:val="0"/>
            <w:vAlign w:val="center"/>
          </w:tcPr>
          <w:p w14:paraId="66B08FA1">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类型：1.有限责任公司</w:t>
            </w:r>
          </w:p>
          <w:p w14:paraId="66CE6309">
            <w:pPr>
              <w:pStyle w:val="2"/>
              <w:keepNext w:val="0"/>
              <w:keepLines w:val="0"/>
              <w:pageBreakBefore w:val="0"/>
              <w:numPr>
                <w:ilvl w:val="0"/>
                <w:numId w:val="2"/>
              </w:numPr>
              <w:kinsoku/>
              <w:wordWrap/>
              <w:overflowPunct/>
              <w:topLinePunct w:val="0"/>
              <w:autoSpaceDE/>
              <w:autoSpaceDN/>
              <w:bidi w:val="0"/>
              <w:adjustRightInd/>
              <w:snapToGrid/>
              <w:spacing w:after="0"/>
              <w:ind w:left="525"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股份有限公司</w:t>
            </w:r>
          </w:p>
          <w:p w14:paraId="311A3BBA">
            <w:pPr>
              <w:pStyle w:val="2"/>
              <w:keepNext w:val="0"/>
              <w:keepLines w:val="0"/>
              <w:pageBreakBefore w:val="0"/>
              <w:numPr>
                <w:ilvl w:val="0"/>
                <w:numId w:val="2"/>
              </w:numPr>
              <w:kinsoku/>
              <w:wordWrap/>
              <w:overflowPunct/>
              <w:topLinePunct w:val="0"/>
              <w:autoSpaceDE/>
              <w:autoSpaceDN/>
              <w:bidi w:val="0"/>
              <w:adjustRightInd/>
              <w:snapToGrid/>
              <w:spacing w:after="0"/>
              <w:ind w:left="525"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其他企业法人</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803FE7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市场监督管理部门</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402F8E1">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原件扫描件</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0ECA2CC">
            <w:pPr>
              <w:rPr>
                <w:rFonts w:cs="Calibri"/>
                <w:color w:val="auto"/>
                <w:szCs w:val="21"/>
                <w:highlight w:val="none"/>
              </w:rPr>
            </w:pPr>
          </w:p>
        </w:tc>
      </w:tr>
    </w:tbl>
    <w:p w14:paraId="41404373">
      <w:pPr>
        <w:numPr>
          <w:ilvl w:val="0"/>
          <w:numId w:val="1"/>
        </w:numPr>
        <w:spacing w:line="440" w:lineRule="exact"/>
        <w:ind w:firstLine="560"/>
        <w:rPr>
          <w:rFonts w:hint="eastAsia" w:ascii="宋体" w:hAnsi="宋体" w:cs="宋体"/>
          <w:color w:val="auto"/>
          <w:sz w:val="28"/>
          <w:szCs w:val="28"/>
          <w:highlight w:val="none"/>
        </w:rPr>
      </w:pPr>
      <w:r>
        <w:rPr>
          <w:rFonts w:hint="eastAsia" w:ascii="宋体" w:hAnsi="宋体" w:cs="宋体"/>
          <w:b/>
          <w:bCs/>
          <w:color w:val="auto"/>
          <w:sz w:val="28"/>
          <w:szCs w:val="28"/>
          <w:highlight w:val="none"/>
        </w:rPr>
        <w:t>项目基本情况</w:t>
      </w:r>
    </w:p>
    <w:p w14:paraId="037CEAC4">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（一）资产名称：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金龙路201号A厂房</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7A0C84AC">
      <w:pPr>
        <w:spacing w:line="440" w:lineRule="exact"/>
        <w:ind w:firstLine="560" w:firstLineChars="200"/>
        <w:rPr>
          <w:rFonts w:hint="eastAsia"/>
          <w:color w:val="auto"/>
          <w:highlight w:val="none"/>
        </w:rPr>
      </w:pPr>
      <w:r>
        <w:rPr>
          <w:rFonts w:hint="eastAsia" w:ascii="宋体" w:hAnsi="宋体" w:cs="宋体"/>
          <w:color w:val="auto"/>
          <w:sz w:val="28"/>
          <w:szCs w:val="28"/>
          <w:highlight w:val="none"/>
        </w:rPr>
        <w:t>（二）资产类型：</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厂房</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0577C12E">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（三）资产地址：</w:t>
      </w:r>
      <w:r>
        <w:rPr>
          <w:rFonts w:hint="eastAsia" w:ascii="宋体" w:hAnsi="宋体" w:cs="宋体"/>
          <w:color w:val="auto"/>
          <w:sz w:val="28"/>
          <w:szCs w:val="28"/>
          <w:highlight w:val="none"/>
          <w:u w:val="single"/>
        </w:rPr>
        <w:t xml:space="preserve"> 金龙路201-1号</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6A51839A">
      <w:pPr>
        <w:spacing w:line="440" w:lineRule="exact"/>
        <w:ind w:firstLine="560" w:firstLineChars="200"/>
        <w:rPr>
          <w:color w:val="auto"/>
          <w:highlight w:val="none"/>
        </w:rPr>
      </w:pPr>
      <w:r>
        <w:rPr>
          <w:rFonts w:hint="eastAsia" w:ascii="宋体" w:hAnsi="宋体" w:cs="宋体"/>
          <w:color w:val="auto"/>
          <w:sz w:val="28"/>
          <w:szCs w:val="28"/>
          <w:highlight w:val="none"/>
        </w:rPr>
        <w:t>（四）交易面积：</w:t>
      </w:r>
      <w:r>
        <w:rPr>
          <w:rFonts w:hint="eastAsia" w:ascii="宋体" w:hAnsi="宋体" w:cs="宋体"/>
          <w:color w:val="auto"/>
          <w:sz w:val="28"/>
          <w:szCs w:val="28"/>
          <w:highlight w:val="none"/>
          <w:u w:val="single"/>
          <w:lang w:eastAsia="zh-CN"/>
        </w:rPr>
        <w:t>建筑面积</w:t>
      </w:r>
      <w:r>
        <w:rPr>
          <w:rFonts w:hint="eastAsia" w:ascii="宋体" w:hAnsi="宋体" w:cs="宋体"/>
          <w:color w:val="auto"/>
          <w:sz w:val="28"/>
          <w:szCs w:val="28"/>
          <w:highlight w:val="none"/>
          <w:u w:val="single"/>
          <w:lang w:val="en-US" w:eastAsia="zh-CN"/>
        </w:rPr>
        <w:t>5583.7</w:t>
      </w:r>
      <w:r>
        <w:rPr>
          <w:rFonts w:hint="eastAsia" w:ascii="宋体" w:hAnsi="宋体" w:cs="宋体"/>
          <w:color w:val="auto"/>
          <w:sz w:val="28"/>
          <w:szCs w:val="28"/>
          <w:highlight w:val="none"/>
          <w:u w:val="single"/>
          <w:lang w:eastAsia="zh-CN"/>
        </w:rPr>
        <w:t>平方米、空地面积</w:t>
      </w:r>
      <w:r>
        <w:rPr>
          <w:rFonts w:hint="eastAsia" w:ascii="宋体" w:hAnsi="宋体" w:cs="宋体"/>
          <w:color w:val="auto"/>
          <w:sz w:val="28"/>
          <w:szCs w:val="28"/>
          <w:highlight w:val="none"/>
          <w:u w:val="single"/>
          <w:lang w:val="en-US" w:eastAsia="zh-CN"/>
        </w:rPr>
        <w:t>757.3</w:t>
      </w:r>
      <w:r>
        <w:rPr>
          <w:rFonts w:hint="eastAsia" w:ascii="宋体" w:hAnsi="宋体" w:cs="宋体"/>
          <w:color w:val="auto"/>
          <w:sz w:val="28"/>
          <w:szCs w:val="28"/>
          <w:highlight w:val="none"/>
          <w:u w:val="single"/>
          <w:lang w:eastAsia="zh-CN"/>
        </w:rPr>
        <w:t>平方米。【厂房</w:t>
      </w:r>
      <w:r>
        <w:rPr>
          <w:rFonts w:hint="eastAsia" w:ascii="宋体" w:hAnsi="宋体" w:cs="宋体"/>
          <w:color w:val="auto"/>
          <w:sz w:val="28"/>
          <w:szCs w:val="28"/>
          <w:highlight w:val="none"/>
          <w:u w:val="single"/>
          <w:lang w:val="en-US" w:eastAsia="zh-CN"/>
        </w:rPr>
        <w:t>占地面积3208</w:t>
      </w:r>
      <w:r>
        <w:rPr>
          <w:rFonts w:hint="eastAsia" w:ascii="宋体" w:hAnsi="宋体" w:cs="宋体"/>
          <w:color w:val="auto"/>
          <w:sz w:val="28"/>
          <w:szCs w:val="28"/>
          <w:highlight w:val="none"/>
          <w:u w:val="single"/>
          <w:lang w:eastAsia="zh-CN"/>
        </w:rPr>
        <w:t>平方米，其中钢筋混凝土厂房4639.7 平方米（1幢3层，有证），门卫室</w:t>
      </w:r>
      <w:r>
        <w:rPr>
          <w:rFonts w:hint="eastAsia" w:ascii="宋体" w:hAnsi="宋体" w:cs="宋体"/>
          <w:color w:val="auto"/>
          <w:sz w:val="28"/>
          <w:szCs w:val="28"/>
          <w:highlight w:val="none"/>
          <w:u w:val="single"/>
          <w:lang w:val="en-US" w:eastAsia="zh-CN"/>
        </w:rPr>
        <w:t>27</w:t>
      </w:r>
      <w:r>
        <w:rPr>
          <w:rFonts w:hint="eastAsia" w:ascii="宋体" w:hAnsi="宋体" w:cs="宋体"/>
          <w:color w:val="auto"/>
          <w:sz w:val="28"/>
          <w:szCs w:val="28"/>
          <w:highlight w:val="none"/>
          <w:u w:val="single"/>
          <w:lang w:eastAsia="zh-CN"/>
        </w:rPr>
        <w:t>平方米（1幢1层），简易厂房</w:t>
      </w:r>
      <w:r>
        <w:rPr>
          <w:rFonts w:hint="eastAsia" w:ascii="宋体" w:hAnsi="宋体" w:cs="宋体"/>
          <w:color w:val="auto"/>
          <w:sz w:val="28"/>
          <w:szCs w:val="28"/>
          <w:highlight w:val="none"/>
          <w:u w:val="single"/>
          <w:lang w:val="en-US" w:eastAsia="zh-CN"/>
        </w:rPr>
        <w:t>917平方米（3</w:t>
      </w:r>
      <w:r>
        <w:rPr>
          <w:rFonts w:hint="eastAsia" w:ascii="宋体" w:hAnsi="宋体" w:cs="宋体"/>
          <w:color w:val="auto"/>
          <w:sz w:val="28"/>
          <w:szCs w:val="28"/>
          <w:highlight w:val="none"/>
          <w:u w:val="single"/>
          <w:lang w:eastAsia="zh-CN"/>
        </w:rPr>
        <w:t>幢</w:t>
      </w:r>
      <w:r>
        <w:rPr>
          <w:rFonts w:hint="eastAsia" w:ascii="宋体" w:hAnsi="宋体" w:cs="宋体"/>
          <w:color w:val="auto"/>
          <w:sz w:val="28"/>
          <w:szCs w:val="28"/>
          <w:highlight w:val="none"/>
          <w:u w:val="single"/>
          <w:lang w:val="en-US" w:eastAsia="zh-CN"/>
        </w:rPr>
        <w:t>1</w:t>
      </w:r>
      <w:r>
        <w:rPr>
          <w:rFonts w:hint="eastAsia" w:ascii="宋体" w:hAnsi="宋体" w:cs="宋体"/>
          <w:color w:val="auto"/>
          <w:sz w:val="28"/>
          <w:szCs w:val="28"/>
          <w:highlight w:val="none"/>
          <w:u w:val="single"/>
          <w:lang w:eastAsia="zh-CN"/>
        </w:rPr>
        <w:t>层</w:t>
      </w:r>
      <w:r>
        <w:rPr>
          <w:rFonts w:hint="eastAsia" w:ascii="宋体" w:hAnsi="宋体" w:cs="宋体"/>
          <w:color w:val="auto"/>
          <w:sz w:val="28"/>
          <w:szCs w:val="28"/>
          <w:highlight w:val="none"/>
          <w:u w:val="single"/>
          <w:lang w:val="en-US" w:eastAsia="zh-CN"/>
        </w:rPr>
        <w:t>）</w:t>
      </w:r>
      <w:r>
        <w:rPr>
          <w:rFonts w:hint="eastAsia" w:ascii="宋体" w:hAnsi="宋体" w:cs="宋体"/>
          <w:color w:val="auto"/>
          <w:sz w:val="28"/>
          <w:szCs w:val="28"/>
          <w:highlight w:val="none"/>
          <w:u w:val="single"/>
          <w:lang w:eastAsia="zh-CN"/>
        </w:rPr>
        <w:t>】</w:t>
      </w:r>
      <w:r>
        <w:rPr>
          <w:rFonts w:hint="eastAsia" w:ascii="宋体" w:hAnsi="宋体" w:cs="宋体"/>
          <w:color w:val="auto"/>
          <w:sz w:val="28"/>
          <w:szCs w:val="28"/>
          <w:highlight w:val="none"/>
          <w:u w:val="single"/>
          <w:lang w:val="en-US" w:eastAsia="zh-CN"/>
        </w:rPr>
        <w:t>。</w:t>
      </w:r>
    </w:p>
    <w:p w14:paraId="351919CD">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（五）项目经营用途：</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工业（不能用于废品收购业、石油气充气站、洗水印花业等有污染行业）</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，用途必须符合法律法规规定和合同约定，不得私自改变用途。</w:t>
      </w:r>
    </w:p>
    <w:p w14:paraId="58806E03">
      <w:pPr>
        <w:spacing w:line="440" w:lineRule="exact"/>
        <w:ind w:firstLine="560" w:firstLineChars="200"/>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rPr>
        <w:t>（六）权属证书及相关批准文件取得情况：</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厂房主体已取得产权证，证号：</w:t>
      </w:r>
      <w:r>
        <w:rPr>
          <w:rFonts w:hint="eastAsia" w:ascii="宋体" w:hAnsi="宋体" w:cs="宋体"/>
          <w:color w:val="auto"/>
          <w:sz w:val="28"/>
          <w:szCs w:val="28"/>
          <w:highlight w:val="none"/>
          <w:u w:val="single"/>
          <w:lang w:val="en-US" w:eastAsia="zh-CN"/>
        </w:rPr>
        <w:t>粤房地权证穗字第0210216094号</w:t>
      </w:r>
      <w:r>
        <w:rPr>
          <w:rFonts w:hint="eastAsia" w:ascii="宋体" w:hAnsi="宋体" w:cs="宋体"/>
          <w:color w:val="auto"/>
          <w:sz w:val="28"/>
          <w:szCs w:val="28"/>
          <w:highlight w:val="none"/>
          <w:u w:val="single"/>
          <w:lang w:eastAsia="zh-CN"/>
        </w:rPr>
        <w:t>。</w:t>
      </w:r>
    </w:p>
    <w:p w14:paraId="5C5C89D5">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竞投人务必注意：标的资产如已取得相关权属证书或批准文件均在此处以列举方式进行披露，竞投人报名即视为接受标的资产权属证书或批准文件的实际状况，此后就此提出异议或反悔导致竞投交易失败，或主张解除合同、合同无效的，竞投人应承担全部过错赔偿责任。</w:t>
      </w:r>
      <w:r>
        <w:rPr>
          <w:rFonts w:hint="eastAsia" w:ascii="宋体" w:hAnsi="宋体" w:cs="宋体"/>
          <w:color w:val="auto"/>
          <w:sz w:val="28"/>
          <w:szCs w:val="28"/>
          <w:highlight w:val="none"/>
        </w:rPr>
        <w:t>）</w:t>
      </w:r>
    </w:p>
    <w:p w14:paraId="7DAFB5E6">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（七）合同年限：</w:t>
      </w:r>
      <w:r>
        <w:rPr>
          <w:rFonts w:hint="eastAsia" w:ascii="宋体" w:hAnsi="宋体" w:cs="宋体"/>
          <w:color w:val="auto"/>
          <w:sz w:val="28"/>
          <w:szCs w:val="28"/>
          <w:highlight w:val="none"/>
          <w:u w:val="single"/>
          <w:lang w:val="en-US" w:eastAsia="zh-CN"/>
        </w:rPr>
        <w:t>10年</w:t>
      </w:r>
      <w:r>
        <w:rPr>
          <w:rFonts w:hint="eastAsia" w:ascii="宋体" w:hAnsi="宋体" w:cs="宋体"/>
          <w:color w:val="auto"/>
          <w:sz w:val="28"/>
          <w:szCs w:val="28"/>
          <w:highlight w:val="none"/>
        </w:rPr>
        <w:t xml:space="preserve">(合同起止时间以实际签订合同约定时间为准)。 </w:t>
      </w:r>
    </w:p>
    <w:p w14:paraId="657924B5">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（八）免租期：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1个月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17E3AA56">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（九）交易底价：</w:t>
      </w:r>
      <w:r>
        <w:rPr>
          <w:rFonts w:hint="eastAsia" w:ascii="宋体" w:hAnsi="宋体" w:cs="宋体"/>
          <w:color w:val="auto"/>
          <w:sz w:val="28"/>
          <w:szCs w:val="28"/>
          <w:highlight w:val="none"/>
          <w:u w:val="single"/>
          <w:lang w:val="en-US" w:eastAsia="zh-CN"/>
        </w:rPr>
        <w:t xml:space="preserve"> 10万元/宗/月（含税，其中租金占60%，管理费占40%） </w:t>
      </w:r>
      <w:r>
        <w:rPr>
          <w:rFonts w:hint="eastAsia" w:ascii="宋体" w:hAnsi="宋体" w:cs="宋体"/>
          <w:color w:val="auto"/>
          <w:sz w:val="28"/>
          <w:szCs w:val="28"/>
          <w:highlight w:val="none"/>
        </w:rPr>
        <w:t>。</w:t>
      </w:r>
    </w:p>
    <w:p w14:paraId="4DB4CCAF">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（十）</w:t>
      </w:r>
      <w:r>
        <w:rPr>
          <w:rFonts w:hint="eastAsia" w:ascii="宋体" w:hAnsi="宋体" w:cs="宋体"/>
          <w:color w:val="auto"/>
          <w:sz w:val="28"/>
          <w:szCs w:val="28"/>
          <w:highlight w:val="none"/>
          <w:lang w:eastAsia="zh-CN"/>
        </w:rPr>
        <w:t>加价范围：</w:t>
      </w:r>
      <w:r>
        <w:rPr>
          <w:rFonts w:hint="eastAsia" w:ascii="宋体" w:hAnsi="宋体" w:cs="宋体"/>
          <w:color w:val="auto"/>
          <w:sz w:val="28"/>
          <w:szCs w:val="28"/>
          <w:highlight w:val="none"/>
          <w:u w:val="single"/>
          <w:lang w:val="en-US" w:eastAsia="zh-CN"/>
        </w:rPr>
        <w:t>每次出价增加金额须为2000元/宗/月或其整数倍，每次最高加价不能超过20000元/宗/月</w:t>
      </w:r>
      <w:r>
        <w:rPr>
          <w:rFonts w:hint="eastAsia" w:ascii="宋体" w:hAnsi="宋体" w:cs="宋体"/>
          <w:color w:val="auto"/>
          <w:sz w:val="28"/>
          <w:szCs w:val="28"/>
          <w:highlight w:val="none"/>
          <w:lang w:val="en-US" w:eastAsia="zh-CN"/>
        </w:rPr>
        <w:t>。</w:t>
      </w:r>
    </w:p>
    <w:p w14:paraId="164AFD78">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（十一）租金递增方式:</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每五年递增</w:t>
      </w:r>
      <w:r>
        <w:rPr>
          <w:rFonts w:hint="eastAsia" w:ascii="宋体" w:hAnsi="宋体" w:cs="宋体"/>
          <w:color w:val="auto"/>
          <w:sz w:val="28"/>
          <w:szCs w:val="28"/>
          <w:highlight w:val="none"/>
          <w:u w:val="single"/>
          <w:lang w:val="en-US" w:eastAsia="zh-CN"/>
        </w:rPr>
        <w:t>8%</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65DAAE2A">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（十二）交易保证金：</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100万</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 ，竞投人请登录广州市番禺区集体经济组织三资管理平台（网址地址：https://nclqyj.panyu.gd.cn）【网上竞投】模块，选择意向项目报名→确认交易公告→确认承诺书→获取交易保证金账号，在提交网上报名前确保交易保证金一次性全额到达指定账户</w:t>
      </w:r>
      <w:r>
        <w:rPr>
          <w:rFonts w:hint="eastAsia" w:ascii="宋体" w:hAnsi="宋体" w:cs="宋体"/>
          <w:b/>
          <w:bCs/>
          <w:color w:val="auto"/>
          <w:sz w:val="28"/>
          <w:szCs w:val="28"/>
          <w:highlight w:val="none"/>
        </w:rPr>
        <w:t>（注意须在转账摘要备注</w:t>
      </w:r>
      <w:r>
        <w:rPr>
          <w:rFonts w:hint="eastAsia" w:ascii="仿宋" w:hAnsi="仿宋" w:eastAsia="仿宋" w:cs="仿宋"/>
          <w:color w:val="auto"/>
          <w:sz w:val="28"/>
          <w:szCs w:val="28"/>
          <w:highlight w:val="none"/>
        </w:rPr>
        <w:t>区集资电竞20260039</w:t>
      </w:r>
      <w:r>
        <w:rPr>
          <w:rFonts w:hint="eastAsia" w:ascii="宋体" w:hAnsi="宋体" w:cs="宋体"/>
          <w:b/>
          <w:bCs/>
          <w:color w:val="auto"/>
          <w:sz w:val="28"/>
          <w:szCs w:val="28"/>
          <w:highlight w:val="none"/>
        </w:rPr>
        <w:t>+</w:t>
      </w:r>
      <w:r>
        <w:rPr>
          <w:rFonts w:hint="eastAsia" w:ascii="仿宋" w:hAnsi="仿宋" w:eastAsia="仿宋" w:cs="仿宋"/>
          <w:color w:val="auto"/>
          <w:sz w:val="28"/>
          <w:szCs w:val="28"/>
          <w:highlight w:val="none"/>
          <w:lang w:eastAsia="zh-CN"/>
        </w:rPr>
        <w:t>金龙路201-1号（</w:t>
      </w:r>
      <w:r>
        <w:rPr>
          <w:rFonts w:hint="eastAsia" w:ascii="仿宋" w:hAnsi="仿宋" w:eastAsia="仿宋" w:cs="仿宋"/>
          <w:color w:val="auto"/>
          <w:sz w:val="28"/>
          <w:szCs w:val="28"/>
          <w:highlight w:val="none"/>
          <w:lang w:val="en-US" w:eastAsia="zh-CN"/>
        </w:rPr>
        <w:t>A厂）</w:t>
      </w:r>
      <w:r>
        <w:rPr>
          <w:rFonts w:hint="eastAsia" w:ascii="仿宋" w:hAnsi="仿宋" w:eastAsia="仿宋" w:cs="仿宋"/>
          <w:color w:val="auto"/>
          <w:sz w:val="28"/>
          <w:szCs w:val="28"/>
          <w:highlight w:val="none"/>
          <w:lang w:eastAsia="zh-CN"/>
        </w:rPr>
        <w:t>厂房</w:t>
      </w:r>
      <w:r>
        <w:rPr>
          <w:rFonts w:hint="eastAsia" w:ascii="宋体" w:hAnsi="宋体" w:cs="宋体"/>
          <w:b/>
          <w:bCs/>
          <w:color w:val="auto"/>
          <w:sz w:val="28"/>
          <w:szCs w:val="28"/>
          <w:highlight w:val="none"/>
        </w:rPr>
        <w:t>）</w:t>
      </w:r>
      <w:r>
        <w:rPr>
          <w:rFonts w:hint="eastAsia" w:ascii="宋体" w:hAnsi="宋体" w:cs="宋体"/>
          <w:color w:val="auto"/>
          <w:sz w:val="28"/>
          <w:szCs w:val="28"/>
          <w:highlight w:val="none"/>
        </w:rPr>
        <w:t>，交易保证金仅限于通过境内银行转账渠道进行转账，包括手机银行、网上银行、柜台转账等，不接受其他任何方式（包括但不限于现金汇款、支付宝、微信、第三方、公证委托等）转账。</w:t>
      </w:r>
    </w:p>
    <w:p w14:paraId="0C08391E">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（十三）合同履约保证金：</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相当于三个月租金及管理费</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21B81C0C">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（十四）交易方式：</w:t>
      </w:r>
      <w:r>
        <w:rPr>
          <w:rFonts w:hint="eastAsia" w:ascii="宋体" w:hAnsi="宋体" w:cs="宋体"/>
          <w:color w:val="auto"/>
          <w:sz w:val="28"/>
          <w:szCs w:val="28"/>
          <w:highlight w:val="none"/>
          <w:lang w:eastAsia="zh-CN"/>
        </w:rPr>
        <w:t>网上</w:t>
      </w:r>
      <w:r>
        <w:rPr>
          <w:rFonts w:hint="eastAsia" w:ascii="宋体" w:hAnsi="宋体" w:cs="宋体"/>
          <w:color w:val="auto"/>
          <w:sz w:val="28"/>
          <w:szCs w:val="28"/>
          <w:highlight w:val="none"/>
        </w:rPr>
        <w:t>竞投。</w:t>
      </w:r>
    </w:p>
    <w:p w14:paraId="7D35A8D8">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（十五）竞得方式：按照不低于底价，价高者得原则确定竞得人。</w:t>
      </w:r>
    </w:p>
    <w:p w14:paraId="1EB4EAAA">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（十六）交易规则：详见《网上交易竞投人须知》第四项“网上竞投规则”。</w:t>
      </w:r>
    </w:p>
    <w:p w14:paraId="3C4D7ED3">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（十七）</w:t>
      </w:r>
      <w:r>
        <w:rPr>
          <w:rFonts w:hint="eastAsia" w:ascii="宋体" w:hAnsi="宋体" w:cs="宋体"/>
          <w:color w:val="auto"/>
          <w:sz w:val="28"/>
          <w:szCs w:val="28"/>
          <w:highlight w:val="none"/>
          <w:lang w:val="en-US" w:eastAsia="zh-CN"/>
        </w:rPr>
        <w:t>交易网址</w:t>
      </w:r>
      <w:r>
        <w:rPr>
          <w:rFonts w:hint="eastAsia" w:ascii="宋体" w:hAnsi="宋体" w:cs="宋体"/>
          <w:color w:val="auto"/>
          <w:sz w:val="28"/>
          <w:szCs w:val="28"/>
          <w:highlight w:val="none"/>
        </w:rPr>
        <w:t>：广州市番禺区集体经济组织三资管理平台（网址地址：https://nclqyj.panyu.gd.cn）【网上竞投】模块（下文简称“交易平台”）。</w:t>
      </w:r>
    </w:p>
    <w:p w14:paraId="41965E9D">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（十八）项目交付方式：按合同约定交付。 </w:t>
      </w:r>
    </w:p>
    <w:p w14:paraId="0ABB6203">
      <w:pPr>
        <w:pStyle w:val="2"/>
        <w:spacing w:after="0" w:line="440" w:lineRule="exact"/>
        <w:ind w:firstLine="560" w:firstLineChars="200"/>
        <w:rPr>
          <w:rFonts w:hint="eastAsia" w:ascii="宋体" w:hAnsi="宋体" w:cs="宋体"/>
          <w:b/>
          <w:bCs/>
          <w:color w:val="auto"/>
          <w:sz w:val="28"/>
          <w:szCs w:val="28"/>
          <w:highlight w:val="none"/>
          <w:u w:val="single"/>
          <w:lang w:eastAsia="zh-CN"/>
        </w:rPr>
      </w:pPr>
      <w:r>
        <w:rPr>
          <w:rFonts w:hint="eastAsia" w:ascii="宋体" w:hAnsi="宋体" w:cs="宋体"/>
          <w:color w:val="auto"/>
          <w:sz w:val="28"/>
          <w:szCs w:val="28"/>
          <w:highlight w:val="none"/>
        </w:rPr>
        <w:t>（十九）其他说明：</w:t>
      </w:r>
    </w:p>
    <w:p w14:paraId="1FAA1049">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firstLineChars="200"/>
        <w:textAlignment w:val="auto"/>
        <w:rPr>
          <w:rFonts w:hint="eastAsia" w:ascii="楷体" w:hAnsi="楷体" w:eastAsia="楷体" w:cs="楷体"/>
          <w:color w:val="auto"/>
          <w:kern w:val="2"/>
          <w:sz w:val="28"/>
          <w:szCs w:val="28"/>
          <w:highlight w:val="none"/>
          <w:lang w:val="en-US" w:eastAsia="zh-CN" w:bidi="ar-SA"/>
        </w:rPr>
      </w:pPr>
      <w:r>
        <w:rPr>
          <w:rFonts w:hint="eastAsia" w:ascii="楷体" w:hAnsi="楷体" w:eastAsia="楷体" w:cs="楷体"/>
          <w:color w:val="auto"/>
          <w:kern w:val="2"/>
          <w:sz w:val="28"/>
          <w:szCs w:val="28"/>
          <w:highlight w:val="none"/>
          <w:lang w:val="en-US" w:eastAsia="zh-CN" w:bidi="ar-SA"/>
        </w:rPr>
        <w:t>1、乙方应在签订合同当天向甲方付清首月租金及管理费，自承租次月起，乙方应每月5日前将当月租金及管理费转入甲方账号。</w:t>
      </w:r>
    </w:p>
    <w:p w14:paraId="6BBED948">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firstLineChars="200"/>
        <w:textAlignment w:val="auto"/>
        <w:rPr>
          <w:rFonts w:hint="eastAsia" w:ascii="楷体" w:hAnsi="楷体" w:eastAsia="楷体" w:cs="楷体"/>
          <w:color w:val="auto"/>
          <w:kern w:val="2"/>
          <w:sz w:val="28"/>
          <w:szCs w:val="28"/>
          <w:highlight w:val="none"/>
          <w:lang w:val="en-US" w:eastAsia="zh-CN" w:bidi="ar-SA"/>
        </w:rPr>
      </w:pPr>
      <w:r>
        <w:rPr>
          <w:rFonts w:hint="eastAsia" w:ascii="楷体" w:hAnsi="楷体" w:eastAsia="楷体" w:cs="楷体"/>
          <w:color w:val="auto"/>
          <w:kern w:val="2"/>
          <w:sz w:val="28"/>
          <w:szCs w:val="28"/>
          <w:highlight w:val="none"/>
          <w:lang w:val="en-US" w:eastAsia="zh-CN" w:bidi="ar-SA"/>
        </w:rPr>
        <w:t>2、交易保证金在签合同当天依次抵扣为合同履约保证金（以竞得价为准，三个月租金及管理费）、首月租金、管理费，不足的签约当天补齐；若有余继续抵扣下一个月的租金、管理费。</w:t>
      </w:r>
    </w:p>
    <w:p w14:paraId="2CD093BF">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firstLineChars="200"/>
        <w:textAlignment w:val="auto"/>
        <w:rPr>
          <w:rFonts w:hint="eastAsia" w:ascii="楷体" w:hAnsi="楷体" w:eastAsia="楷体" w:cs="楷体"/>
          <w:color w:val="auto"/>
          <w:kern w:val="2"/>
          <w:sz w:val="28"/>
          <w:szCs w:val="28"/>
          <w:highlight w:val="none"/>
          <w:lang w:val="en-US" w:eastAsia="zh-CN" w:bidi="ar-SA"/>
        </w:rPr>
      </w:pPr>
      <w:r>
        <w:rPr>
          <w:rFonts w:hint="eastAsia" w:ascii="楷体" w:hAnsi="楷体" w:eastAsia="楷体" w:cs="楷体"/>
          <w:color w:val="auto"/>
          <w:kern w:val="2"/>
          <w:sz w:val="28"/>
          <w:szCs w:val="28"/>
          <w:highlight w:val="none"/>
          <w:lang w:val="en-US" w:eastAsia="zh-CN" w:bidi="ar-SA"/>
        </w:rPr>
        <w:t>3、甲方按现有标准提供厂房用水用电，超出部分自行承担。水、电收费标准按照有关部门规定执行，如需开具发票的由乙方负责。</w:t>
      </w:r>
    </w:p>
    <w:p w14:paraId="7218ABFF">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firstLineChars="200"/>
        <w:textAlignment w:val="auto"/>
        <w:rPr>
          <w:rFonts w:hint="eastAsia" w:ascii="楷体" w:hAnsi="楷体" w:eastAsia="楷体" w:cs="楷体"/>
          <w:color w:val="auto"/>
          <w:kern w:val="2"/>
          <w:sz w:val="28"/>
          <w:szCs w:val="28"/>
          <w:highlight w:val="none"/>
          <w:lang w:val="en-US" w:eastAsia="zh-CN" w:bidi="ar-SA"/>
        </w:rPr>
      </w:pPr>
      <w:r>
        <w:rPr>
          <w:rFonts w:hint="eastAsia" w:ascii="楷体" w:hAnsi="楷体" w:eastAsia="楷体" w:cs="楷体"/>
          <w:color w:val="auto"/>
          <w:kern w:val="2"/>
          <w:sz w:val="28"/>
          <w:szCs w:val="28"/>
          <w:highlight w:val="none"/>
          <w:lang w:val="en-US" w:eastAsia="zh-CN" w:bidi="ar-SA"/>
        </w:rPr>
        <w:t>4、租赁期间乙方如需对厂房及所属设施进行装修或增加设施必须先征得甲方书面同意后方可实施，且装修或增加设施不得对厂房结构造成不良影响。</w:t>
      </w:r>
    </w:p>
    <w:p w14:paraId="2EF29C4A">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firstLineChars="200"/>
        <w:textAlignment w:val="auto"/>
        <w:rPr>
          <w:rFonts w:hint="eastAsia" w:ascii="楷体" w:hAnsi="楷体" w:eastAsia="楷体" w:cs="楷体"/>
          <w:color w:val="auto"/>
          <w:kern w:val="2"/>
          <w:sz w:val="28"/>
          <w:szCs w:val="28"/>
          <w:highlight w:val="none"/>
          <w:lang w:val="en-US" w:eastAsia="zh-CN" w:bidi="ar-SA"/>
        </w:rPr>
      </w:pPr>
      <w:r>
        <w:rPr>
          <w:rFonts w:hint="eastAsia" w:ascii="楷体" w:hAnsi="楷体" w:eastAsia="楷体" w:cs="楷体"/>
          <w:color w:val="auto"/>
          <w:kern w:val="2"/>
          <w:sz w:val="28"/>
          <w:szCs w:val="28"/>
          <w:highlight w:val="none"/>
          <w:lang w:val="en-US" w:eastAsia="zh-CN" w:bidi="ar-SA"/>
        </w:rPr>
        <w:t>5、《房屋安全鉴定检测》及排水单元达标由承租方负责办理，《房屋安全鉴定检测》在合同生效后一个月内完成办理，排水单元达标在合同生效后三个月内完成办理，日后有关办证、年审、维护等由竞得人负责。</w:t>
      </w:r>
    </w:p>
    <w:p w14:paraId="0668C492">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firstLineChars="200"/>
        <w:textAlignment w:val="auto"/>
        <w:rPr>
          <w:rFonts w:hint="eastAsia" w:ascii="楷体" w:hAnsi="楷体" w:eastAsia="楷体" w:cs="楷体"/>
          <w:color w:val="auto"/>
          <w:kern w:val="2"/>
          <w:sz w:val="28"/>
          <w:szCs w:val="28"/>
          <w:highlight w:val="none"/>
          <w:lang w:val="en-US" w:eastAsia="zh-CN" w:bidi="ar-SA"/>
        </w:rPr>
      </w:pPr>
      <w:r>
        <w:rPr>
          <w:rFonts w:hint="eastAsia" w:ascii="楷体" w:hAnsi="楷体" w:eastAsia="楷体" w:cs="楷体"/>
          <w:color w:val="auto"/>
          <w:kern w:val="2"/>
          <w:sz w:val="28"/>
          <w:szCs w:val="28"/>
          <w:highlight w:val="none"/>
          <w:lang w:val="en-US" w:eastAsia="zh-CN" w:bidi="ar-SA"/>
        </w:rPr>
        <w:t>6、乙方在本合同签订后，合同开始后两年内不得分租或转租，两年后如乙方将该厂房分租或转租给第三方，乙方需向甲方提供第三承租方的资料。如乙方将该厂房转让给第三方，需经甲方同意后，办理有关转让手续，并向甲方交付相等于届时一个月的租金及管理费作为变更手续费。</w:t>
      </w:r>
    </w:p>
    <w:p w14:paraId="5CA86056">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firstLineChars="200"/>
        <w:textAlignment w:val="auto"/>
        <w:rPr>
          <w:rFonts w:hint="eastAsia" w:ascii="楷体" w:hAnsi="楷体" w:eastAsia="楷体" w:cs="楷体"/>
          <w:color w:val="auto"/>
          <w:kern w:val="2"/>
          <w:sz w:val="28"/>
          <w:szCs w:val="28"/>
          <w:highlight w:val="none"/>
          <w:lang w:val="en-US" w:eastAsia="zh-CN" w:bidi="ar-SA"/>
        </w:rPr>
      </w:pPr>
      <w:r>
        <w:rPr>
          <w:rFonts w:hint="eastAsia" w:ascii="楷体" w:hAnsi="楷体" w:eastAsia="楷体" w:cs="楷体"/>
          <w:color w:val="auto"/>
          <w:kern w:val="2"/>
          <w:sz w:val="28"/>
          <w:szCs w:val="28"/>
          <w:highlight w:val="none"/>
          <w:lang w:val="en-US" w:eastAsia="zh-CN" w:bidi="ar-SA"/>
        </w:rPr>
        <w:t>7、乙方应为厂房及所属设施购买财产综合险，保额不少于1000万元(大写：壹仟万元正），并负责购买厂房内乙方自己财产的必要的保险（包括责任险）。</w:t>
      </w:r>
    </w:p>
    <w:p w14:paraId="767623B3">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firstLineChars="200"/>
        <w:textAlignment w:val="auto"/>
        <w:rPr>
          <w:rFonts w:hint="eastAsia" w:ascii="楷体" w:hAnsi="楷体" w:eastAsia="楷体" w:cs="楷体"/>
          <w:color w:val="auto"/>
          <w:kern w:val="2"/>
          <w:sz w:val="28"/>
          <w:szCs w:val="28"/>
          <w:highlight w:val="none"/>
          <w:lang w:val="en-US" w:eastAsia="zh-CN" w:bidi="ar-SA"/>
        </w:rPr>
      </w:pPr>
      <w:r>
        <w:rPr>
          <w:rFonts w:hint="eastAsia" w:ascii="楷体" w:hAnsi="楷体" w:eastAsia="楷体" w:cs="楷体"/>
          <w:color w:val="auto"/>
          <w:kern w:val="2"/>
          <w:sz w:val="28"/>
          <w:szCs w:val="28"/>
          <w:highlight w:val="none"/>
          <w:lang w:val="en-US" w:eastAsia="zh-CN" w:bidi="ar-SA"/>
        </w:rPr>
        <w:t>8、卫生费按村收费标准收取，每月500元。</w:t>
      </w:r>
    </w:p>
    <w:p w14:paraId="57FB05E9">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注：本项目以实物现状为准，竞投人可自行查看标的资产的位置及向项目业主单位了解项目的实际情况。</w:t>
      </w:r>
    </w:p>
    <w:p w14:paraId="14C1EF9F">
      <w:pPr>
        <w:numPr>
          <w:ilvl w:val="0"/>
          <w:numId w:val="1"/>
        </w:numPr>
        <w:spacing w:line="440" w:lineRule="exact"/>
        <w:ind w:firstLine="56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报名事项 </w:t>
      </w:r>
    </w:p>
    <w:p w14:paraId="663BCB42">
      <w:pPr>
        <w:spacing w:line="440" w:lineRule="exact"/>
        <w:ind w:left="630"/>
        <w:rPr>
          <w:rFonts w:hint="eastAsia" w:ascii="宋体" w:hAnsi="宋体" w:cs="宋体"/>
          <w:color w:val="auto"/>
          <w:sz w:val="28"/>
          <w:szCs w:val="28"/>
          <w:highlight w:val="none"/>
        </w:rPr>
      </w:pPr>
      <w:r>
        <w:rPr>
          <w:rFonts w:hint="eastAsia" w:ascii="宋体" w:hAnsi="宋体" w:cs="宋体"/>
          <w:color w:val="auto"/>
          <w:sz w:val="28"/>
          <w:szCs w:val="28"/>
          <w:highlight w:val="none"/>
        </w:rPr>
        <w:t>（一）报名流程</w:t>
      </w:r>
    </w:p>
    <w:p w14:paraId="06F1FFFD">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平台登录。竞投意向人敬请在规定时间内登录交易平台报名（如未在网上注册的用户，须在广州市番禺区集体经济组织三资管理平台（网址地址：https://nclqyj.panyu.gd.cn）【网上竞投】模块注册后方可登录，详见《网上交易竞投人须知》第二项“网上交易账号注册”）。</w:t>
      </w:r>
    </w:p>
    <w:p w14:paraId="73DA02F5">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2.网上报名。选择项目进行网上报名→确认交易公告→确认承诺书→缴纳交易保证金→上传资料→保存并提交</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资料一经提交，无法自行撤回修改，请确认上传的报名资料正确无误，报名截止后如报名资料审核不通过将无法修改报名资料或提交报名审核）</w:t>
      </w:r>
      <w:r>
        <w:rPr>
          <w:rFonts w:hint="eastAsia" w:ascii="宋体" w:hAnsi="宋体" w:cs="宋体"/>
          <w:color w:val="auto"/>
          <w:sz w:val="28"/>
          <w:szCs w:val="28"/>
          <w:highlight w:val="none"/>
        </w:rPr>
        <w:t>。</w:t>
      </w:r>
    </w:p>
    <w:p w14:paraId="411DE749">
      <w:pPr>
        <w:spacing w:line="44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eastAsia="zh-CN"/>
        </w:rPr>
        <w:t>线上审核。竞投人完成</w:t>
      </w:r>
      <w:r>
        <w:rPr>
          <w:rFonts w:hint="eastAsia" w:ascii="宋体" w:hAnsi="宋体" w:cs="宋体"/>
          <w:color w:val="auto"/>
          <w:sz w:val="28"/>
          <w:szCs w:val="28"/>
          <w:highlight w:val="none"/>
        </w:rPr>
        <w:t>网上报名提交资料审核</w:t>
      </w:r>
      <w:r>
        <w:rPr>
          <w:rFonts w:hint="eastAsia" w:ascii="宋体" w:hAnsi="宋体" w:cs="宋体"/>
          <w:color w:val="auto"/>
          <w:sz w:val="28"/>
          <w:szCs w:val="28"/>
          <w:highlight w:val="none"/>
          <w:lang w:eastAsia="zh-CN"/>
        </w:rPr>
        <w:t>后，区交易中心将对竞投人报名资料进行线上审核。若竞投人上传资料有困难</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eastAsia="zh-CN"/>
        </w:rPr>
        <w:t>可</w:t>
      </w:r>
      <w:r>
        <w:rPr>
          <w:rFonts w:hint="eastAsia" w:ascii="宋体" w:hAnsi="宋体" w:cs="宋体"/>
          <w:color w:val="auto"/>
          <w:sz w:val="28"/>
          <w:szCs w:val="28"/>
          <w:highlight w:val="none"/>
          <w:u w:val="single"/>
        </w:rPr>
        <w:t>在规定时间内持报名资料到区交易中心现场</w:t>
      </w:r>
      <w:r>
        <w:rPr>
          <w:rFonts w:hint="eastAsia" w:ascii="宋体" w:hAnsi="宋体" w:cs="宋体"/>
          <w:color w:val="auto"/>
          <w:sz w:val="28"/>
          <w:szCs w:val="28"/>
          <w:highlight w:val="none"/>
          <w:u w:val="single"/>
          <w:lang w:eastAsia="zh-CN"/>
        </w:rPr>
        <w:t>协助上传（请竞投人合理安排时间，避免因逾时导致报名失败）</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eastAsia="zh-CN"/>
        </w:rPr>
        <w:t>区交易中心地址</w:t>
      </w:r>
      <w:r>
        <w:rPr>
          <w:rFonts w:hint="eastAsia" w:ascii="宋体" w:hAnsi="宋体" w:cs="宋体"/>
          <w:color w:val="auto"/>
          <w:sz w:val="28"/>
          <w:szCs w:val="28"/>
          <w:highlight w:val="none"/>
          <w:u w:val="single"/>
        </w:rPr>
        <w:t>：番禺区禺山西路景观大道沙头街道办事处东侧一楼报名处。</w:t>
      </w:r>
    </w:p>
    <w:p w14:paraId="2FE9E39F">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竞投资格确认。区交易中心对竞投人报名资料组织审核，审核完成后，竞投人可通过网上竞投系统查看审核结果。审核通过，即报名成功，确认竞投人竞投资格；审核不通过，竞投人须到区交易中心现场办理退款手续。</w:t>
      </w:r>
    </w:p>
    <w:p w14:paraId="1F8F06A7">
      <w:pPr>
        <w:spacing w:line="440" w:lineRule="exact"/>
        <w:ind w:firstLine="562" w:firstLineChars="200"/>
        <w:rPr>
          <w:rFonts w:hint="eastAsia" w:eastAsia="宋体"/>
          <w:b/>
          <w:bCs/>
          <w:color w:val="auto"/>
          <w:highlight w:val="none"/>
          <w:lang w:eastAsia="zh-CN"/>
        </w:rPr>
      </w:pPr>
      <w:r>
        <w:rPr>
          <w:rFonts w:hint="eastAsia" w:ascii="宋体" w:hAnsi="宋体" w:cs="宋体"/>
          <w:b/>
          <w:bCs/>
          <w:color w:val="auto"/>
          <w:sz w:val="28"/>
          <w:szCs w:val="28"/>
          <w:highlight w:val="none"/>
        </w:rPr>
        <w:t>（二）报名时间</w:t>
      </w:r>
      <w:r>
        <w:rPr>
          <w:rFonts w:hint="eastAsia" w:ascii="宋体" w:hAnsi="宋体" w:cs="宋体"/>
          <w:b/>
          <w:bCs/>
          <w:color w:val="auto"/>
          <w:sz w:val="28"/>
          <w:szCs w:val="28"/>
          <w:highlight w:val="none"/>
          <w:lang w:eastAsia="zh-CN"/>
        </w:rPr>
        <w:t>和报名资料</w:t>
      </w:r>
    </w:p>
    <w:p w14:paraId="6ADF5208">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w:t>
      </w:r>
      <w:r>
        <w:rPr>
          <w:rFonts w:ascii="宋体" w:hAnsi="宋体" w:cs="宋体"/>
          <w:color w:val="auto"/>
          <w:sz w:val="28"/>
          <w:szCs w:val="28"/>
          <w:highlight w:val="none"/>
        </w:rPr>
        <w:t>网</w:t>
      </w:r>
      <w:r>
        <w:rPr>
          <w:rFonts w:hint="eastAsia" w:ascii="宋体" w:hAnsi="宋体" w:cs="宋体"/>
          <w:color w:val="auto"/>
          <w:sz w:val="28"/>
          <w:szCs w:val="28"/>
          <w:highlight w:val="none"/>
        </w:rPr>
        <w:t>上报名提交资料时间：</w:t>
      </w:r>
      <w:r>
        <w:rPr>
          <w:rFonts w:hint="eastAsia" w:ascii="仿宋" w:hAnsi="仿宋" w:eastAsia="仿宋" w:cs="仿宋"/>
          <w:color w:val="auto"/>
          <w:sz w:val="28"/>
          <w:szCs w:val="28"/>
          <w:highlight w:val="none"/>
          <w:u w:val="single"/>
          <w:lang w:val="en-US" w:eastAsia="zh-CN"/>
        </w:rPr>
        <w:t>2026年3月25日9时30分</w:t>
      </w:r>
      <w:r>
        <w:rPr>
          <w:rFonts w:hint="eastAsia" w:ascii="宋体" w:hAnsi="宋体" w:cs="宋体"/>
          <w:color w:val="auto"/>
          <w:sz w:val="28"/>
          <w:szCs w:val="28"/>
          <w:highlight w:val="none"/>
          <w:u w:val="single"/>
        </w:rPr>
        <w:t>至</w:t>
      </w:r>
      <w:r>
        <w:rPr>
          <w:rFonts w:hint="eastAsia" w:ascii="仿宋" w:hAnsi="仿宋" w:eastAsia="仿宋" w:cs="仿宋"/>
          <w:color w:val="auto"/>
          <w:sz w:val="28"/>
          <w:szCs w:val="28"/>
          <w:highlight w:val="none"/>
          <w:u w:val="single"/>
          <w:lang w:val="en-US" w:eastAsia="zh-CN"/>
        </w:rPr>
        <w:t>2026年4月2日17时</w:t>
      </w:r>
      <w:r>
        <w:rPr>
          <w:rFonts w:hint="eastAsia" w:ascii="宋体" w:hAnsi="宋体" w:cs="宋体"/>
          <w:color w:val="auto"/>
          <w:sz w:val="28"/>
          <w:szCs w:val="28"/>
          <w:highlight w:val="none"/>
        </w:rPr>
        <w:t>，竞投意向人敬请在规定时间内完成网上报名提交资料审核，提前、逾期恕不接受网上报名审核</w:t>
      </w:r>
      <w:r>
        <w:rPr>
          <w:rFonts w:hint="eastAsia" w:ascii="宋体" w:hAnsi="宋体" w:cs="宋体"/>
          <w:color w:val="auto"/>
          <w:sz w:val="28"/>
          <w:szCs w:val="28"/>
          <w:highlight w:val="none"/>
          <w:lang w:eastAsia="zh-CN"/>
        </w:rPr>
        <w:t>。</w:t>
      </w:r>
    </w:p>
    <w:p w14:paraId="5F2349CC">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2.</w:t>
      </w:r>
      <w:r>
        <w:rPr>
          <w:rFonts w:ascii="宋体" w:hAnsi="宋体" w:cs="宋体"/>
          <w:color w:val="auto"/>
          <w:sz w:val="28"/>
          <w:szCs w:val="28"/>
          <w:highlight w:val="none"/>
        </w:rPr>
        <w:t>网</w:t>
      </w:r>
      <w:r>
        <w:rPr>
          <w:rFonts w:hint="eastAsia" w:ascii="宋体" w:hAnsi="宋体" w:cs="宋体"/>
          <w:color w:val="auto"/>
          <w:sz w:val="28"/>
          <w:szCs w:val="28"/>
          <w:highlight w:val="none"/>
        </w:rPr>
        <w:t>上报名需提交的资料（须上传原件清晰照片或扫描件）：</w:t>
      </w:r>
    </w:p>
    <w:p w14:paraId="2555F3A8">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交易保证金缴费凭证（转账凭证上须有银行电子回单专用章/业务专用章）。</w:t>
      </w:r>
    </w:p>
    <w:p w14:paraId="5E567AA0">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《番禺区区级农村集体资产网上交易竞投报名承诺书》签名盖章版（详见交易公告附件2）【可到报名处领取或在交易平台下载】。</w:t>
      </w:r>
    </w:p>
    <w:p w14:paraId="05135A0D">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竞投人身份证明资料（身份证须提供正反面）：</w:t>
      </w:r>
      <w:r>
        <w:rPr>
          <w:rFonts w:hint="default" w:ascii="Calibri" w:hAnsi="Calibri" w:cs="Calibri"/>
          <w:color w:val="auto"/>
          <w:sz w:val="28"/>
          <w:szCs w:val="28"/>
          <w:highlight w:val="none"/>
        </w:rPr>
        <w:fldChar w:fldCharType="begin"/>
      </w:r>
      <w:r>
        <w:rPr>
          <w:rFonts w:hint="default" w:ascii="Calibri" w:hAnsi="Calibri" w:cs="Calibri"/>
          <w:color w:val="auto"/>
          <w:sz w:val="28"/>
          <w:szCs w:val="28"/>
          <w:highlight w:val="none"/>
        </w:rPr>
        <w:instrText xml:space="preserve"> = 1 \* GB3 \* MERGEFORMAT </w:instrText>
      </w:r>
      <w:r>
        <w:rPr>
          <w:rFonts w:hint="default" w:ascii="Calibri" w:hAnsi="Calibri" w:cs="Calibri"/>
          <w:color w:val="auto"/>
          <w:sz w:val="28"/>
          <w:szCs w:val="28"/>
          <w:highlight w:val="none"/>
        </w:rPr>
        <w:fldChar w:fldCharType="separate"/>
      </w:r>
      <w:r>
        <w:rPr>
          <w:color w:val="auto"/>
          <w:highlight w:val="none"/>
        </w:rPr>
        <w:t>①</w:t>
      </w:r>
      <w:r>
        <w:rPr>
          <w:rFonts w:hint="default" w:ascii="Calibri" w:hAnsi="Calibri" w:cs="Calibri"/>
          <w:color w:val="auto"/>
          <w:sz w:val="28"/>
          <w:szCs w:val="28"/>
          <w:highlight w:val="none"/>
        </w:rPr>
        <w:fldChar w:fldCharType="end"/>
      </w:r>
      <w:r>
        <w:rPr>
          <w:rFonts w:hint="eastAsia" w:ascii="宋体" w:hAnsi="宋体" w:cs="宋体"/>
          <w:color w:val="auto"/>
          <w:sz w:val="28"/>
          <w:szCs w:val="28"/>
          <w:highlight w:val="none"/>
        </w:rPr>
        <w:t>完全民事行为能力的</w:t>
      </w:r>
      <w:r>
        <w:rPr>
          <w:rFonts w:hint="eastAsia" w:ascii="宋体" w:hAnsi="宋体" w:cs="宋体"/>
          <w:b/>
          <w:bCs/>
          <w:color w:val="auto"/>
          <w:sz w:val="28"/>
          <w:szCs w:val="28"/>
          <w:highlight w:val="none"/>
        </w:rPr>
        <w:t>自然人</w:t>
      </w:r>
      <w:r>
        <w:rPr>
          <w:rFonts w:hint="eastAsia" w:ascii="宋体" w:hAnsi="宋体" w:cs="宋体"/>
          <w:color w:val="auto"/>
          <w:sz w:val="28"/>
          <w:szCs w:val="28"/>
          <w:highlight w:val="none"/>
        </w:rPr>
        <w:t>须提供身份证；</w:t>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 2 \* GB3 \* MERGEFORMAT </w:instrText>
      </w:r>
      <w:r>
        <w:rPr>
          <w:rFonts w:hint="eastAsia" w:ascii="宋体" w:hAnsi="宋体" w:cs="宋体"/>
          <w:color w:val="auto"/>
          <w:sz w:val="28"/>
          <w:szCs w:val="28"/>
          <w:highlight w:val="none"/>
        </w:rPr>
        <w:fldChar w:fldCharType="separate"/>
      </w:r>
      <w:r>
        <w:rPr>
          <w:color w:val="auto"/>
          <w:highlight w:val="none"/>
        </w:rPr>
        <w:t>②</w:t>
      </w:r>
      <w:r>
        <w:rPr>
          <w:rFonts w:hint="eastAsia" w:ascii="宋体" w:hAnsi="宋体" w:cs="宋体"/>
          <w:color w:val="auto"/>
          <w:sz w:val="28"/>
          <w:szCs w:val="28"/>
          <w:highlight w:val="none"/>
        </w:rPr>
        <w:fldChar w:fldCharType="end"/>
      </w:r>
      <w:r>
        <w:rPr>
          <w:rFonts w:hint="eastAsia" w:ascii="宋体" w:hAnsi="宋体" w:cs="宋体"/>
          <w:b/>
          <w:bCs/>
          <w:color w:val="auto"/>
          <w:sz w:val="28"/>
          <w:szCs w:val="28"/>
          <w:highlight w:val="none"/>
        </w:rPr>
        <w:t>个体工商户</w:t>
      </w:r>
      <w:r>
        <w:rPr>
          <w:rFonts w:hint="eastAsia" w:ascii="宋体" w:hAnsi="宋体" w:cs="宋体"/>
          <w:color w:val="auto"/>
          <w:sz w:val="28"/>
          <w:szCs w:val="28"/>
          <w:highlight w:val="none"/>
        </w:rPr>
        <w:t>经营者须提供营业执照、经营者身份证；</w:t>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 3 \* GB3 \* MERGEFORMAT </w:instrText>
      </w:r>
      <w:r>
        <w:rPr>
          <w:rFonts w:hint="eastAsia" w:ascii="宋体" w:hAnsi="宋体" w:cs="宋体"/>
          <w:color w:val="auto"/>
          <w:sz w:val="28"/>
          <w:szCs w:val="28"/>
          <w:highlight w:val="none"/>
        </w:rPr>
        <w:fldChar w:fldCharType="separate"/>
      </w:r>
      <w:r>
        <w:rPr>
          <w:color w:val="auto"/>
          <w:highlight w:val="none"/>
        </w:rPr>
        <w:t>③</w:t>
      </w:r>
      <w:r>
        <w:rPr>
          <w:rFonts w:hint="eastAsia" w:ascii="宋体" w:hAnsi="宋体" w:cs="宋体"/>
          <w:color w:val="auto"/>
          <w:sz w:val="28"/>
          <w:szCs w:val="28"/>
          <w:highlight w:val="none"/>
        </w:rPr>
        <w:fldChar w:fldCharType="end"/>
      </w:r>
      <w:r>
        <w:rPr>
          <w:rFonts w:hint="eastAsia" w:ascii="宋体" w:hAnsi="宋体" w:cs="宋体"/>
          <w:b/>
          <w:bCs/>
          <w:color w:val="auto"/>
          <w:sz w:val="28"/>
          <w:szCs w:val="28"/>
          <w:highlight w:val="none"/>
        </w:rPr>
        <w:t>法人单位</w:t>
      </w:r>
      <w:r>
        <w:rPr>
          <w:rFonts w:hint="eastAsia" w:ascii="宋体" w:hAnsi="宋体" w:cs="宋体"/>
          <w:color w:val="auto"/>
          <w:sz w:val="28"/>
          <w:szCs w:val="28"/>
          <w:highlight w:val="none"/>
        </w:rPr>
        <w:t>须提供营业执照、法定代表人身份证；</w:t>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 4 \* GB3 \* MERGEFORMAT </w:instrText>
      </w:r>
      <w:r>
        <w:rPr>
          <w:rFonts w:hint="eastAsia" w:ascii="宋体" w:hAnsi="宋体" w:cs="宋体"/>
          <w:color w:val="auto"/>
          <w:sz w:val="28"/>
          <w:szCs w:val="28"/>
          <w:highlight w:val="none"/>
        </w:rPr>
        <w:fldChar w:fldCharType="separate"/>
      </w:r>
      <w:r>
        <w:rPr>
          <w:color w:val="auto"/>
          <w:highlight w:val="none"/>
        </w:rPr>
        <w:t>④</w:t>
      </w:r>
      <w:r>
        <w:rPr>
          <w:rFonts w:hint="eastAsia" w:ascii="宋体" w:hAnsi="宋体" w:cs="宋体"/>
          <w:color w:val="auto"/>
          <w:sz w:val="28"/>
          <w:szCs w:val="28"/>
          <w:highlight w:val="none"/>
        </w:rPr>
        <w:fldChar w:fldCharType="end"/>
      </w:r>
      <w:r>
        <w:rPr>
          <w:rFonts w:hint="eastAsia" w:ascii="宋体" w:hAnsi="宋体" w:cs="宋体"/>
          <w:b/>
          <w:bCs/>
          <w:color w:val="auto"/>
          <w:sz w:val="28"/>
          <w:szCs w:val="28"/>
          <w:highlight w:val="none"/>
        </w:rPr>
        <w:t>非法人企业/组织</w:t>
      </w:r>
      <w:r>
        <w:rPr>
          <w:rFonts w:hint="eastAsia" w:ascii="宋体" w:hAnsi="宋体" w:cs="宋体"/>
          <w:color w:val="auto"/>
          <w:sz w:val="28"/>
          <w:szCs w:val="28"/>
          <w:highlight w:val="none"/>
        </w:rPr>
        <w:t>的须提供非法人企业/组织登记证照、负责人（投资人或合伙人）身份证，如是合伙企业还需提供执行事务合伙人证明书。</w:t>
      </w:r>
      <w:r>
        <w:rPr>
          <w:rFonts w:hint="eastAsia" w:ascii="宋体" w:hAnsi="宋体" w:cs="宋体"/>
          <w:color w:val="auto"/>
          <w:sz w:val="28"/>
          <w:szCs w:val="28"/>
          <w:highlight w:val="none"/>
          <w:lang w:val="en-US" w:eastAsia="zh-CN"/>
        </w:rPr>
        <w:t>具体</w:t>
      </w:r>
      <w:r>
        <w:rPr>
          <w:rFonts w:hint="eastAsia" w:ascii="宋体" w:hAnsi="宋体" w:cs="宋体"/>
          <w:color w:val="auto"/>
          <w:sz w:val="28"/>
          <w:szCs w:val="28"/>
          <w:highlight w:val="none"/>
        </w:rPr>
        <w:t>详见《网上交易竞投人须知》第三项关于竞投人身份资料的说明。如项目业主单位对竞投人身份证明资料有其他要求，以本邀请函第一项“竞投人准入条件（一）”要求为准。</w:t>
      </w:r>
    </w:p>
    <w:p w14:paraId="4821584B">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优先承租权证明</w:t>
      </w:r>
      <w:r>
        <w:rPr>
          <w:rFonts w:hint="eastAsia" w:ascii="宋体" w:hAnsi="宋体" w:cs="宋体"/>
          <w:color w:val="auto"/>
          <w:sz w:val="28"/>
          <w:szCs w:val="28"/>
          <w:highlight w:val="none"/>
          <w:lang w:val="en-US" w:eastAsia="zh-CN"/>
        </w:rPr>
        <w:t>资</w:t>
      </w:r>
      <w:r>
        <w:rPr>
          <w:rFonts w:hint="eastAsia" w:ascii="宋体" w:hAnsi="宋体" w:cs="宋体"/>
          <w:color w:val="auto"/>
          <w:sz w:val="28"/>
          <w:szCs w:val="28"/>
          <w:highlight w:val="none"/>
        </w:rPr>
        <w:t>料（如有</w:t>
      </w:r>
      <w:r>
        <w:rPr>
          <w:rFonts w:hint="eastAsia" w:ascii="宋体" w:hAnsi="宋体" w:cs="宋体"/>
          <w:color w:val="auto"/>
          <w:sz w:val="28"/>
          <w:szCs w:val="28"/>
          <w:highlight w:val="none"/>
          <w:lang w:eastAsia="zh-CN"/>
        </w:rPr>
        <w:t>，</w:t>
      </w:r>
      <w:r>
        <w:rPr>
          <w:rFonts w:hint="eastAsia" w:ascii="仿宋" w:hAnsi="仿宋" w:eastAsia="仿宋" w:cs="仿宋"/>
          <w:color w:val="auto"/>
          <w:sz w:val="28"/>
          <w:szCs w:val="28"/>
          <w:highlight w:val="none"/>
        </w:rPr>
        <w:t>网上报名时扫描上传，</w:t>
      </w:r>
      <w:r>
        <w:rPr>
          <w:rFonts w:hint="eastAsia" w:ascii="仿宋" w:hAnsi="仿宋" w:eastAsia="仿宋" w:cs="仿宋"/>
          <w:color w:val="auto"/>
          <w:sz w:val="28"/>
          <w:szCs w:val="28"/>
          <w:highlight w:val="none"/>
          <w:lang w:eastAsia="zh-CN"/>
        </w:rPr>
        <w:t>如资料经审核不符合主张优先权条件将无法</w:t>
      </w:r>
      <w:r>
        <w:rPr>
          <w:rFonts w:hint="eastAsia" w:ascii="仿宋" w:hAnsi="仿宋" w:eastAsia="仿宋" w:cs="仿宋"/>
          <w:color w:val="auto"/>
          <w:sz w:val="28"/>
          <w:szCs w:val="28"/>
          <w:highlight w:val="none"/>
          <w:lang w:val="en-US" w:eastAsia="zh-CN"/>
        </w:rPr>
        <w:t>通过</w:t>
      </w:r>
      <w:r>
        <w:rPr>
          <w:rFonts w:hint="eastAsia" w:ascii="仿宋" w:hAnsi="仿宋" w:eastAsia="仿宋" w:cs="仿宋"/>
          <w:color w:val="auto"/>
          <w:sz w:val="28"/>
          <w:szCs w:val="28"/>
          <w:highlight w:val="none"/>
          <w:lang w:eastAsia="zh-CN"/>
        </w:rPr>
        <w:t>报名</w:t>
      </w:r>
      <w:r>
        <w:rPr>
          <w:rFonts w:hint="eastAsia" w:ascii="仿宋" w:hAnsi="仿宋" w:eastAsia="仿宋" w:cs="仿宋"/>
          <w:color w:val="auto"/>
          <w:sz w:val="28"/>
          <w:szCs w:val="28"/>
          <w:highlight w:val="none"/>
          <w:lang w:val="en-US" w:eastAsia="zh-CN"/>
        </w:rPr>
        <w:t>审核</w:t>
      </w:r>
      <w:r>
        <w:rPr>
          <w:rFonts w:hint="eastAsia" w:ascii="宋体" w:hAnsi="宋体" w:cs="宋体"/>
          <w:color w:val="auto"/>
          <w:sz w:val="28"/>
          <w:szCs w:val="28"/>
          <w:highlight w:val="none"/>
        </w:rPr>
        <w:t>）。</w:t>
      </w:r>
    </w:p>
    <w:p w14:paraId="04FC73FA">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项目所需的其他资质条件证明</w:t>
      </w:r>
      <w:r>
        <w:rPr>
          <w:rFonts w:hint="eastAsia" w:ascii="宋体" w:hAnsi="宋体" w:cs="宋体"/>
          <w:color w:val="auto"/>
          <w:sz w:val="28"/>
          <w:szCs w:val="28"/>
          <w:highlight w:val="none"/>
          <w:lang w:val="en-US" w:eastAsia="zh-CN"/>
        </w:rPr>
        <w:t>资</w:t>
      </w:r>
      <w:r>
        <w:rPr>
          <w:rFonts w:hint="eastAsia" w:ascii="宋体" w:hAnsi="宋体" w:cs="宋体"/>
          <w:color w:val="auto"/>
          <w:sz w:val="28"/>
          <w:szCs w:val="28"/>
          <w:highlight w:val="none"/>
        </w:rPr>
        <w:t>料（如有）。</w:t>
      </w:r>
    </w:p>
    <w:p w14:paraId="6792F235">
      <w:pPr>
        <w:spacing w:line="440" w:lineRule="exact"/>
        <w:ind w:firstLine="560" w:firstLineChars="20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u w:val="single"/>
          <w:lang w:val="en-US" w:eastAsia="zh-CN" w:bidi="ar-SA"/>
        </w:rPr>
        <w:t>注意：竞投人如因使用复印件扫描上传导致无法报名成功由竞投人自行负责。</w:t>
      </w:r>
    </w:p>
    <w:p w14:paraId="3FDB27AB">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若竞投人上传资料有困难，需到区交易中心</w:t>
      </w:r>
      <w:r>
        <w:rPr>
          <w:rFonts w:hint="eastAsia" w:ascii="宋体" w:hAnsi="宋体" w:cs="宋体"/>
          <w:color w:val="auto"/>
          <w:sz w:val="28"/>
          <w:szCs w:val="28"/>
          <w:highlight w:val="none"/>
          <w:u w:val="none"/>
        </w:rPr>
        <w:t>现场</w:t>
      </w:r>
      <w:r>
        <w:rPr>
          <w:rFonts w:hint="eastAsia" w:ascii="宋体" w:hAnsi="宋体" w:cs="宋体"/>
          <w:color w:val="auto"/>
          <w:sz w:val="28"/>
          <w:szCs w:val="28"/>
          <w:highlight w:val="none"/>
          <w:u w:val="none"/>
          <w:lang w:eastAsia="zh-CN"/>
        </w:rPr>
        <w:t>协助上传的</w:t>
      </w:r>
      <w:r>
        <w:rPr>
          <w:rFonts w:hint="eastAsia" w:ascii="宋体" w:hAnsi="宋体" w:cs="宋体"/>
          <w:color w:val="auto"/>
          <w:sz w:val="28"/>
          <w:szCs w:val="28"/>
          <w:highlight w:val="none"/>
          <w:lang w:eastAsia="zh-CN"/>
        </w:rPr>
        <w:t>，现场工作</w:t>
      </w:r>
      <w:r>
        <w:rPr>
          <w:rFonts w:hint="eastAsia" w:ascii="宋体" w:hAnsi="宋体" w:cs="宋体"/>
          <w:color w:val="auto"/>
          <w:sz w:val="28"/>
          <w:szCs w:val="28"/>
          <w:highlight w:val="none"/>
        </w:rPr>
        <w:t>时间：</w:t>
      </w:r>
      <w:r>
        <w:rPr>
          <w:rFonts w:hint="eastAsia" w:ascii="宋体" w:hAnsi="宋体" w:eastAsia="宋体" w:cs="宋体"/>
          <w:color w:val="auto"/>
          <w:kern w:val="2"/>
          <w:sz w:val="28"/>
          <w:szCs w:val="28"/>
          <w:highlight w:val="none"/>
          <w:u w:val="single"/>
          <w:lang w:val="en-US" w:eastAsia="zh-CN" w:bidi="ar-SA"/>
        </w:rPr>
        <w:t>2026年3月25日至2026年4月2日</w:t>
      </w:r>
      <w:r>
        <w:rPr>
          <w:rFonts w:hint="eastAsia" w:ascii="宋体" w:hAnsi="宋体" w:cs="宋体"/>
          <w:color w:val="auto"/>
          <w:sz w:val="28"/>
          <w:szCs w:val="28"/>
          <w:highlight w:val="none"/>
        </w:rPr>
        <w:t>，上午9:30-11:30，下午14:30-17:00（每逢周五下午及节假日除外</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none"/>
          <w:lang w:eastAsia="zh-CN"/>
        </w:rPr>
        <w:t>请竞投人合理安排时间，避免因逾时导致报名失败</w:t>
      </w:r>
      <w:r>
        <w:rPr>
          <w:rFonts w:hint="eastAsia" w:ascii="宋体" w:hAnsi="宋体" w:cs="宋体"/>
          <w:color w:val="auto"/>
          <w:sz w:val="28"/>
          <w:szCs w:val="28"/>
          <w:highlight w:val="none"/>
        </w:rPr>
        <w:t>）</w:t>
      </w:r>
      <w:r>
        <w:rPr>
          <w:rFonts w:hint="eastAsia" w:ascii="宋体" w:hAnsi="宋体" w:cs="宋体"/>
          <w:color w:val="auto"/>
          <w:sz w:val="28"/>
          <w:szCs w:val="28"/>
          <w:highlight w:val="none"/>
          <w:u w:val="none"/>
        </w:rPr>
        <w:t>，</w:t>
      </w:r>
      <w:r>
        <w:rPr>
          <w:rFonts w:hint="eastAsia" w:ascii="宋体" w:hAnsi="宋体" w:cs="宋体"/>
          <w:color w:val="auto"/>
          <w:sz w:val="28"/>
          <w:szCs w:val="28"/>
          <w:highlight w:val="none"/>
          <w:u w:val="none"/>
          <w:lang w:eastAsia="zh-CN"/>
        </w:rPr>
        <w:t>区交易中心地址</w:t>
      </w:r>
      <w:r>
        <w:rPr>
          <w:rFonts w:hint="eastAsia" w:ascii="宋体" w:hAnsi="宋体" w:cs="宋体"/>
          <w:color w:val="auto"/>
          <w:sz w:val="28"/>
          <w:szCs w:val="28"/>
          <w:highlight w:val="none"/>
          <w:u w:val="none"/>
        </w:rPr>
        <w:t>：番禺区禺山西路景观大道沙头街道办事处东侧一楼报名处。</w:t>
      </w:r>
      <w:r>
        <w:rPr>
          <w:rFonts w:hint="eastAsia" w:ascii="宋体" w:hAnsi="宋体" w:cs="宋体"/>
          <w:color w:val="auto"/>
          <w:sz w:val="28"/>
          <w:szCs w:val="28"/>
          <w:highlight w:val="none"/>
        </w:rPr>
        <w:t>竞投意向人敬请在规定时间内</w:t>
      </w:r>
      <w:r>
        <w:rPr>
          <w:rFonts w:hint="eastAsia" w:ascii="宋体" w:hAnsi="宋体" w:cs="宋体"/>
          <w:b w:val="0"/>
          <w:bCs w:val="0"/>
          <w:color w:val="auto"/>
          <w:sz w:val="28"/>
          <w:szCs w:val="28"/>
          <w:highlight w:val="none"/>
          <w:u w:val="none"/>
        </w:rPr>
        <w:t>完成</w:t>
      </w:r>
      <w:r>
        <w:rPr>
          <w:rFonts w:ascii="宋体" w:hAnsi="宋体" w:cs="宋体"/>
          <w:b w:val="0"/>
          <w:bCs w:val="0"/>
          <w:color w:val="auto"/>
          <w:sz w:val="28"/>
          <w:szCs w:val="28"/>
          <w:highlight w:val="none"/>
          <w:u w:val="none"/>
        </w:rPr>
        <w:t>网</w:t>
      </w:r>
      <w:r>
        <w:rPr>
          <w:rFonts w:hint="eastAsia" w:ascii="宋体" w:hAnsi="宋体" w:cs="宋体"/>
          <w:b w:val="0"/>
          <w:bCs w:val="0"/>
          <w:color w:val="auto"/>
          <w:sz w:val="28"/>
          <w:szCs w:val="28"/>
          <w:highlight w:val="none"/>
          <w:u w:val="none"/>
        </w:rPr>
        <w:t>上报名提交资料</w:t>
      </w:r>
      <w:r>
        <w:rPr>
          <w:rFonts w:hint="eastAsia" w:ascii="宋体" w:hAnsi="宋体" w:cs="宋体"/>
          <w:color w:val="auto"/>
          <w:sz w:val="28"/>
          <w:szCs w:val="28"/>
          <w:highlight w:val="none"/>
        </w:rPr>
        <w:t>，提前、逾期恕不接受网上报名</w:t>
      </w:r>
      <w:r>
        <w:rPr>
          <w:rFonts w:hint="eastAsia" w:ascii="宋体" w:hAnsi="宋体" w:cs="宋体"/>
          <w:color w:val="auto"/>
          <w:sz w:val="28"/>
          <w:szCs w:val="28"/>
          <w:highlight w:val="none"/>
          <w:lang w:eastAsia="zh-CN"/>
        </w:rPr>
        <w:t>审核</w:t>
      </w:r>
      <w:r>
        <w:rPr>
          <w:rFonts w:hint="eastAsia" w:ascii="宋体" w:hAnsi="宋体" w:cs="宋体"/>
          <w:color w:val="auto"/>
          <w:sz w:val="28"/>
          <w:szCs w:val="28"/>
          <w:highlight w:val="none"/>
        </w:rPr>
        <w:t>。</w:t>
      </w:r>
    </w:p>
    <w:p w14:paraId="3D5A2ED8">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三</w:t>
      </w:r>
      <w:r>
        <w:rPr>
          <w:rFonts w:hint="eastAsia" w:ascii="宋体" w:hAnsi="宋体" w:cs="宋体"/>
          <w:color w:val="auto"/>
          <w:sz w:val="28"/>
          <w:szCs w:val="28"/>
          <w:highlight w:val="none"/>
        </w:rPr>
        <w:t xml:space="preserve">）其他事项： </w:t>
      </w:r>
    </w:p>
    <w:p w14:paraId="51E8CBC7">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1.同一交易编号同一竞投人只能报名一次（因项目延期、中止、原竞得人被取消竞得资格重启除外）。 </w:t>
      </w:r>
    </w:p>
    <w:p w14:paraId="4BC3D26F">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2.竞投人、竞投人的法定代表人、受委托人在区交易中心办理竞投业务时，需签名的文件都必须由本人亲笔签名，不得使用私章。</w:t>
      </w:r>
    </w:p>
    <w:p w14:paraId="5E804453">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3.一个项目对应一个银行账号，一份交易保证金只能参加一宗交易竞投。</w:t>
      </w:r>
    </w:p>
    <w:p w14:paraId="23B13E5F">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4.竞投人支付交易保证金的</w:t>
      </w:r>
      <w:r>
        <w:rPr>
          <w:rFonts w:hint="eastAsia" w:ascii="宋体" w:hAnsi="宋体" w:cs="宋体"/>
          <w:b/>
          <w:bCs/>
          <w:color w:val="auto"/>
          <w:sz w:val="28"/>
          <w:szCs w:val="28"/>
          <w:highlight w:val="none"/>
        </w:rPr>
        <w:t>户名</w:t>
      </w:r>
      <w:r>
        <w:rPr>
          <w:rFonts w:hint="eastAsia" w:ascii="宋体" w:hAnsi="宋体" w:cs="宋体"/>
          <w:color w:val="auto"/>
          <w:sz w:val="28"/>
          <w:szCs w:val="28"/>
          <w:highlight w:val="none"/>
        </w:rPr>
        <w:t>必须与</w:t>
      </w:r>
      <w:r>
        <w:rPr>
          <w:rFonts w:hint="eastAsia" w:ascii="宋体" w:hAnsi="宋体" w:cs="宋体"/>
          <w:b/>
          <w:bCs/>
          <w:color w:val="auto"/>
          <w:sz w:val="28"/>
          <w:szCs w:val="28"/>
          <w:highlight w:val="none"/>
        </w:rPr>
        <w:t>报名名称</w:t>
      </w:r>
      <w:r>
        <w:rPr>
          <w:rFonts w:hint="eastAsia" w:ascii="宋体" w:hAnsi="宋体" w:cs="宋体"/>
          <w:color w:val="auto"/>
          <w:sz w:val="28"/>
          <w:szCs w:val="28"/>
          <w:highlight w:val="none"/>
        </w:rPr>
        <w:t>一致，否则银行系统无法匹配，银行系统匹配不一致导致保证金无法到达指定账号的，均无法完成报名，每一位竞投人须确保交易保证金转账人、竞投人、若竞得后合同乙方须一致。</w:t>
      </w:r>
    </w:p>
    <w:p w14:paraId="7BFA61F8">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报名的最后一天，为确保交易系统能及时获取银行系统的到账信息，建议竞投意向人提前完成交易保证金转账及网上报名。逾期未交纳交易保证金的，或交易保证金款项未在指定日期前到账的，均视为未按要求交纳交易保证金，均无法完成报名。</w:t>
      </w:r>
    </w:p>
    <w:p w14:paraId="271622F2">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竞投人需在交易系统报名界面正确填写具体的转账信息并上传转账凭证（转账凭证上须有银行电子回单专用章/业务专用章），未能提供交纳交易保证金的转账凭证或交易保证金款项未到账的，将无法通过报名审核。</w:t>
      </w:r>
    </w:p>
    <w:p w14:paraId="0595980D">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7.交易保证金缴纳其他注意事项详见《网上交易竞投人须知》第六项“交易保证金转账及处理须知”。</w:t>
      </w:r>
    </w:p>
    <w:p w14:paraId="0439AEB2">
      <w:pPr>
        <w:numPr>
          <w:ilvl w:val="0"/>
          <w:numId w:val="1"/>
        </w:numPr>
        <w:spacing w:line="440" w:lineRule="exact"/>
        <w:ind w:firstLine="56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优先承租权主张</w:t>
      </w:r>
    </w:p>
    <w:p w14:paraId="1C7A8253">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享有优先承租权的个人或单位参加竞投的，应于网上报名时主张并上传证明材料，如股权证（须盖有经济社公章原件）、原合同（须保证甲方为报名项目的项目业主单位、合同约定租赁面积、地址与报名项目的面积、地址一致）等，经区交易中心核对后方可在竞投中主张优先承租权（</w:t>
      </w:r>
      <w:r>
        <w:rPr>
          <w:rFonts w:hint="eastAsia" w:ascii="宋体" w:hAnsi="宋体" w:cs="宋体"/>
          <w:color w:val="auto"/>
          <w:sz w:val="28"/>
          <w:szCs w:val="28"/>
          <w:highlight w:val="none"/>
          <w:lang w:eastAsia="zh-CN"/>
        </w:rPr>
        <w:t>网上报名</w:t>
      </w:r>
      <w:r>
        <w:rPr>
          <w:rFonts w:hint="eastAsia" w:ascii="宋体" w:hAnsi="宋体" w:cs="宋体"/>
          <w:color w:val="auto"/>
          <w:sz w:val="28"/>
          <w:szCs w:val="28"/>
          <w:highlight w:val="none"/>
        </w:rPr>
        <w:t xml:space="preserve">不提交的，视为放弃对本项目享有优先承租权），优先承租权的竞得方式详见《网上交易竞投人须知》第四项“网上竞投规则”。 </w:t>
      </w:r>
    </w:p>
    <w:p w14:paraId="0E64FBF0">
      <w:pPr>
        <w:numPr>
          <w:ilvl w:val="0"/>
          <w:numId w:val="1"/>
        </w:numPr>
        <w:spacing w:line="440" w:lineRule="exact"/>
        <w:ind w:firstLine="56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交易成交确认</w:t>
      </w:r>
    </w:p>
    <w:p w14:paraId="4D054DAB">
      <w:pPr>
        <w:spacing w:line="44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最后报出最高有效报价的竞投人，需在竞投结束后2个工作日内携带竞投人身份资料原件（法人单位/非法人企业/个体工商户等须携带公章）到区交易中心签订《番禺区区级农村集体资产网上交易成交确认书》（下文简称《成交确认书》），如果授权委托他人到现场签订，受委托人须携带授权委托书原件及受委托人身份证复印件（原件备查），授权委托书中的委托权限应当注明签订《成交确认书》等具体委托事项，受委托人实施一切代理行为所产生的全部后果及责任，由委托人承担。</w:t>
      </w:r>
    </w:p>
    <w:p w14:paraId="58E74A7C">
      <w:pPr>
        <w:spacing w:line="440" w:lineRule="exact"/>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未在规定时间内携带上述资料到区交易中心签订交易《成交确认书》的视为自动放弃竞得资格，其交纳的交易保证金由区交易中心按公告约定一次性全额转给项目业主单位，由项目业主单位全权予以处理。竞得人须凭《成交确认书》、携带竞投人身份资料原件（法人单位/非法人企业/个体工商户等须携带公章）在规定时间内与项目业主单位签订合同。  </w:t>
      </w:r>
    </w:p>
    <w:p w14:paraId="58F31273">
      <w:pPr>
        <w:numPr>
          <w:ilvl w:val="0"/>
          <w:numId w:val="1"/>
        </w:numPr>
        <w:spacing w:line="440" w:lineRule="exact"/>
        <w:ind w:firstLine="56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特别提示</w:t>
      </w:r>
    </w:p>
    <w:p w14:paraId="265EEA02">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w:t>
      </w:r>
      <w:r>
        <w:rPr>
          <w:rFonts w:ascii="宋体" w:hAnsi="宋体" w:cs="宋体"/>
          <w:color w:val="auto"/>
          <w:sz w:val="28"/>
          <w:szCs w:val="28"/>
          <w:highlight w:val="none"/>
        </w:rPr>
        <w:t>如因</w:t>
      </w:r>
      <w:r>
        <w:rPr>
          <w:rFonts w:hint="eastAsia" w:ascii="宋体" w:hAnsi="宋体" w:cs="宋体"/>
          <w:color w:val="auto"/>
          <w:sz w:val="28"/>
          <w:szCs w:val="28"/>
          <w:highlight w:val="none"/>
        </w:rPr>
        <w:t>竞投人</w:t>
      </w:r>
      <w:r>
        <w:rPr>
          <w:rFonts w:ascii="宋体" w:hAnsi="宋体" w:cs="宋体"/>
          <w:color w:val="auto"/>
          <w:sz w:val="28"/>
          <w:szCs w:val="28"/>
          <w:highlight w:val="none"/>
        </w:rPr>
        <w:t>所填写的信息不真实、不准确或不完整而造成注册账户无法激活交易，不按本规则的有关规定向交易机构交纳交易保证金等情况，导致无法交易，交易机构不承担任何责任。意向方、竞投人、</w:t>
      </w:r>
      <w:r>
        <w:rPr>
          <w:rFonts w:hint="eastAsia" w:ascii="宋体" w:hAnsi="宋体" w:cs="宋体"/>
          <w:color w:val="auto"/>
          <w:sz w:val="28"/>
          <w:szCs w:val="28"/>
          <w:highlight w:val="none"/>
        </w:rPr>
        <w:t>竞</w:t>
      </w:r>
      <w:r>
        <w:rPr>
          <w:rFonts w:ascii="宋体" w:hAnsi="宋体" w:cs="宋体"/>
          <w:color w:val="auto"/>
          <w:sz w:val="28"/>
          <w:szCs w:val="28"/>
          <w:highlight w:val="none"/>
        </w:rPr>
        <w:t>得人应对自己的注册账户信息保密，意向方、竞投人、竞得人因使用的设备遭遇网络堵塞、病毒入侵</w:t>
      </w:r>
      <w:r>
        <w:rPr>
          <w:rFonts w:hint="eastAsia" w:ascii="宋体" w:hAnsi="宋体" w:cs="宋体"/>
          <w:color w:val="auto"/>
          <w:sz w:val="28"/>
          <w:szCs w:val="28"/>
          <w:highlight w:val="none"/>
        </w:rPr>
        <w:t>、他人人为攻击</w:t>
      </w:r>
      <w:r>
        <w:rPr>
          <w:rFonts w:ascii="宋体" w:hAnsi="宋体" w:cs="宋体"/>
          <w:color w:val="auto"/>
          <w:sz w:val="28"/>
          <w:szCs w:val="28"/>
          <w:highlight w:val="none"/>
        </w:rPr>
        <w:t>及其软、硬件出现故障等原因，应承担其账户无法正常登陆、使用、出价或被攻击、被抢登、被盗、被冒用、被篡改、被注销等而造成的一切后果，</w:t>
      </w:r>
      <w:r>
        <w:rPr>
          <w:rFonts w:hint="eastAsia" w:ascii="宋体" w:hAnsi="宋体" w:cs="宋体"/>
          <w:color w:val="auto"/>
          <w:sz w:val="28"/>
          <w:szCs w:val="28"/>
          <w:highlight w:val="none"/>
        </w:rPr>
        <w:t>区</w:t>
      </w:r>
      <w:r>
        <w:rPr>
          <w:rFonts w:ascii="宋体" w:hAnsi="宋体" w:cs="宋体"/>
          <w:color w:val="auto"/>
          <w:sz w:val="28"/>
          <w:szCs w:val="28"/>
          <w:highlight w:val="none"/>
        </w:rPr>
        <w:t>交易</w:t>
      </w:r>
      <w:r>
        <w:rPr>
          <w:rFonts w:hint="eastAsia" w:ascii="宋体" w:hAnsi="宋体" w:cs="宋体"/>
          <w:color w:val="auto"/>
          <w:sz w:val="28"/>
          <w:szCs w:val="28"/>
          <w:highlight w:val="none"/>
        </w:rPr>
        <w:t>中心</w:t>
      </w:r>
      <w:r>
        <w:rPr>
          <w:rFonts w:ascii="宋体" w:hAnsi="宋体" w:cs="宋体"/>
          <w:color w:val="auto"/>
          <w:sz w:val="28"/>
          <w:szCs w:val="28"/>
          <w:highlight w:val="none"/>
        </w:rPr>
        <w:t>不承担任何责任。</w:t>
      </w:r>
    </w:p>
    <w:p w14:paraId="15A40ED6">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2.交易保证金账户开立单位对交易保证金进行监管，对交易保证金的安全监管承担法律责任，不承担监管过程产生的除交易保证金安全监管责任以外的其他法律责任。</w:t>
      </w:r>
    </w:p>
    <w:p w14:paraId="60B53D15">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w:t>
      </w:r>
      <w:r>
        <w:rPr>
          <w:rFonts w:ascii="宋体" w:hAnsi="宋体" w:cs="宋体"/>
          <w:color w:val="auto"/>
          <w:sz w:val="28"/>
          <w:szCs w:val="28"/>
          <w:highlight w:val="none"/>
        </w:rPr>
        <w:t>本场竞投活动的相关信息在</w:t>
      </w:r>
      <w:r>
        <w:rPr>
          <w:rFonts w:hint="eastAsia" w:ascii="宋体" w:hAnsi="宋体" w:cs="宋体"/>
          <w:color w:val="auto"/>
          <w:sz w:val="28"/>
          <w:szCs w:val="28"/>
          <w:highlight w:val="none"/>
        </w:rPr>
        <w:t>交易平台</w:t>
      </w:r>
      <w:r>
        <w:rPr>
          <w:rFonts w:ascii="宋体" w:hAnsi="宋体" w:cs="宋体"/>
          <w:color w:val="auto"/>
          <w:sz w:val="28"/>
          <w:szCs w:val="28"/>
          <w:highlight w:val="none"/>
        </w:rPr>
        <w:t>发布，竞投人应予以关注，因意向方未及时关注信息而导致的一切后果由该意向方、竞投人、竞得人自行承担，</w:t>
      </w:r>
      <w:r>
        <w:rPr>
          <w:rFonts w:hint="eastAsia" w:ascii="宋体" w:hAnsi="宋体" w:cs="宋体"/>
          <w:color w:val="auto"/>
          <w:sz w:val="28"/>
          <w:szCs w:val="28"/>
          <w:highlight w:val="none"/>
        </w:rPr>
        <w:t>区交易中心</w:t>
      </w:r>
      <w:r>
        <w:rPr>
          <w:rFonts w:ascii="宋体" w:hAnsi="宋体" w:cs="宋体"/>
          <w:color w:val="auto"/>
          <w:sz w:val="28"/>
          <w:szCs w:val="28"/>
          <w:highlight w:val="none"/>
        </w:rPr>
        <w:t>不承担任何责任。</w:t>
      </w:r>
    </w:p>
    <w:p w14:paraId="7D1D9A78">
      <w:pPr>
        <w:spacing w:line="440" w:lineRule="exact"/>
        <w:ind w:firstLine="560" w:firstLineChars="200"/>
        <w:rPr>
          <w:color w:val="auto"/>
          <w:highlight w:val="none"/>
        </w:rPr>
      </w:pPr>
      <w:r>
        <w:rPr>
          <w:rFonts w:hint="eastAsia" w:ascii="宋体" w:hAnsi="宋体" w:cs="宋体"/>
          <w:color w:val="auto"/>
          <w:sz w:val="28"/>
          <w:szCs w:val="28"/>
          <w:highlight w:val="none"/>
        </w:rPr>
        <w:t>4.</w:t>
      </w:r>
      <w:r>
        <w:rPr>
          <w:rFonts w:hint="eastAsia" w:ascii="宋体" w:hAnsi="宋体" w:cs="宋体"/>
          <w:color w:val="auto"/>
          <w:sz w:val="28"/>
          <w:szCs w:val="28"/>
          <w:highlight w:val="none"/>
          <w:lang w:eastAsia="zh-CN"/>
        </w:rPr>
        <w:t>网上</w:t>
      </w:r>
      <w:r>
        <w:rPr>
          <w:rFonts w:hint="eastAsia" w:ascii="宋体" w:hAnsi="宋体" w:cs="宋体"/>
          <w:color w:val="auto"/>
          <w:sz w:val="28"/>
          <w:szCs w:val="28"/>
          <w:highlight w:val="none"/>
        </w:rPr>
        <w:t>交易过程所涉及时间均以交易</w:t>
      </w:r>
      <w:r>
        <w:rPr>
          <w:rFonts w:hint="eastAsia" w:ascii="宋体" w:hAnsi="宋体" w:cs="宋体"/>
          <w:color w:val="auto"/>
          <w:sz w:val="28"/>
          <w:szCs w:val="28"/>
          <w:highlight w:val="none"/>
          <w:lang w:eastAsia="zh-CN"/>
        </w:rPr>
        <w:t>平台</w:t>
      </w:r>
      <w:r>
        <w:rPr>
          <w:rFonts w:hint="eastAsia" w:ascii="宋体" w:hAnsi="宋体" w:cs="宋体"/>
          <w:color w:val="auto"/>
          <w:sz w:val="28"/>
          <w:szCs w:val="28"/>
          <w:highlight w:val="none"/>
        </w:rPr>
        <w:t>系统服务器时间为准，数据记录时间以数据信息到达交易</w:t>
      </w:r>
      <w:r>
        <w:rPr>
          <w:rFonts w:hint="eastAsia" w:ascii="宋体" w:hAnsi="宋体" w:cs="宋体"/>
          <w:color w:val="auto"/>
          <w:sz w:val="28"/>
          <w:szCs w:val="28"/>
          <w:highlight w:val="none"/>
          <w:lang w:eastAsia="zh-CN"/>
        </w:rPr>
        <w:t>平台</w:t>
      </w:r>
      <w:r>
        <w:rPr>
          <w:rFonts w:hint="eastAsia" w:ascii="宋体" w:hAnsi="宋体" w:cs="宋体"/>
          <w:color w:val="auto"/>
          <w:sz w:val="28"/>
          <w:szCs w:val="28"/>
          <w:highlight w:val="none"/>
        </w:rPr>
        <w:t>系统服务器的时间为依据。竞投人</w:t>
      </w:r>
      <w:r>
        <w:rPr>
          <w:rFonts w:hint="eastAsia" w:ascii="宋体" w:hAnsi="宋体" w:cs="宋体"/>
          <w:color w:val="auto"/>
          <w:sz w:val="28"/>
          <w:szCs w:val="28"/>
          <w:highlight w:val="none"/>
          <w:lang w:eastAsia="zh-CN"/>
        </w:rPr>
        <w:t>由于</w:t>
      </w:r>
      <w:r>
        <w:rPr>
          <w:rFonts w:hint="eastAsia" w:ascii="宋体" w:hAnsi="宋体" w:cs="宋体"/>
          <w:color w:val="auto"/>
          <w:sz w:val="28"/>
          <w:szCs w:val="28"/>
          <w:highlight w:val="none"/>
        </w:rPr>
        <w:t>自身终端设备时间与交易</w:t>
      </w:r>
      <w:r>
        <w:rPr>
          <w:rFonts w:hint="eastAsia" w:ascii="宋体" w:hAnsi="宋体" w:cs="宋体"/>
          <w:color w:val="auto"/>
          <w:sz w:val="28"/>
          <w:szCs w:val="28"/>
          <w:highlight w:val="none"/>
          <w:lang w:eastAsia="zh-CN"/>
        </w:rPr>
        <w:t>平台</w:t>
      </w:r>
      <w:r>
        <w:rPr>
          <w:rFonts w:hint="eastAsia" w:ascii="宋体" w:hAnsi="宋体" w:cs="宋体"/>
          <w:color w:val="auto"/>
          <w:sz w:val="28"/>
          <w:szCs w:val="28"/>
          <w:highlight w:val="none"/>
        </w:rPr>
        <w:t>系统时间不</w:t>
      </w:r>
      <w:r>
        <w:rPr>
          <w:rFonts w:hint="eastAsia" w:ascii="宋体" w:hAnsi="宋体" w:cs="宋体"/>
          <w:color w:val="auto"/>
          <w:sz w:val="28"/>
          <w:szCs w:val="28"/>
          <w:highlight w:val="none"/>
          <w:lang w:eastAsia="zh-CN"/>
        </w:rPr>
        <w:t>一致</w:t>
      </w:r>
      <w:r>
        <w:rPr>
          <w:rFonts w:hint="eastAsia" w:ascii="宋体" w:hAnsi="宋体" w:cs="宋体"/>
          <w:color w:val="auto"/>
          <w:sz w:val="28"/>
          <w:szCs w:val="28"/>
          <w:highlight w:val="none"/>
        </w:rPr>
        <w:t>而导致</w:t>
      </w:r>
      <w:r>
        <w:rPr>
          <w:rFonts w:hint="eastAsia" w:ascii="宋体" w:hAnsi="宋体" w:cs="宋体"/>
          <w:color w:val="auto"/>
          <w:sz w:val="28"/>
          <w:szCs w:val="28"/>
          <w:highlight w:val="none"/>
          <w:lang w:eastAsia="zh-CN"/>
        </w:rPr>
        <w:t>未能正常</w:t>
      </w:r>
      <w:r>
        <w:rPr>
          <w:rFonts w:hint="eastAsia" w:ascii="宋体" w:hAnsi="宋体" w:cs="宋体"/>
          <w:color w:val="auto"/>
          <w:sz w:val="28"/>
          <w:szCs w:val="28"/>
          <w:highlight w:val="none"/>
        </w:rPr>
        <w:t>参与</w:t>
      </w:r>
      <w:r>
        <w:rPr>
          <w:rFonts w:hint="eastAsia" w:ascii="宋体" w:hAnsi="宋体" w:cs="宋体"/>
          <w:color w:val="auto"/>
          <w:sz w:val="28"/>
          <w:szCs w:val="28"/>
          <w:highlight w:val="none"/>
          <w:lang w:eastAsia="zh-CN"/>
        </w:rPr>
        <w:t>交易</w:t>
      </w:r>
      <w:r>
        <w:rPr>
          <w:rFonts w:hint="eastAsia" w:ascii="宋体" w:hAnsi="宋体" w:cs="宋体"/>
          <w:color w:val="auto"/>
          <w:sz w:val="28"/>
          <w:szCs w:val="28"/>
          <w:highlight w:val="none"/>
        </w:rPr>
        <w:t>的，后果由竞投人自行承担。</w:t>
      </w:r>
    </w:p>
    <w:p w14:paraId="7718A4DF">
      <w:pPr>
        <w:spacing w:line="44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5.交易平台因不可抗力、软硬件故障、非法入侵、恶意攻击等任何原因而导致电子竞价活动被迫停止的，</w:t>
      </w:r>
      <w:r>
        <w:rPr>
          <w:rFonts w:hint="eastAsia" w:ascii="宋体" w:hAnsi="宋体" w:cs="宋体"/>
          <w:b/>
          <w:bCs/>
          <w:color w:val="auto"/>
          <w:sz w:val="28"/>
          <w:szCs w:val="28"/>
          <w:highlight w:val="none"/>
        </w:rPr>
        <w:t>项目业主单位、区交易中心</w:t>
      </w:r>
      <w:r>
        <w:rPr>
          <w:rFonts w:hint="eastAsia" w:ascii="宋体" w:hAnsi="宋体" w:cs="宋体"/>
          <w:color w:val="auto"/>
          <w:sz w:val="28"/>
          <w:szCs w:val="28"/>
          <w:highlight w:val="none"/>
        </w:rPr>
        <w:t>应及时中止、终止，原报价结果作废，项目将重新另行安排时间组织竞价活动，</w:t>
      </w:r>
      <w:r>
        <w:rPr>
          <w:rFonts w:hint="eastAsia" w:ascii="宋体" w:hAnsi="宋体" w:cs="宋体"/>
          <w:b/>
          <w:bCs/>
          <w:color w:val="auto"/>
          <w:sz w:val="28"/>
          <w:szCs w:val="28"/>
          <w:highlight w:val="none"/>
        </w:rPr>
        <w:t>项目业主单位、区交易中心</w:t>
      </w:r>
      <w:r>
        <w:rPr>
          <w:rFonts w:hint="eastAsia" w:ascii="宋体" w:hAnsi="宋体" w:cs="宋体"/>
          <w:color w:val="auto"/>
          <w:sz w:val="28"/>
          <w:szCs w:val="28"/>
          <w:highlight w:val="none"/>
        </w:rPr>
        <w:t>不承担任何责任</w:t>
      </w:r>
      <w:r>
        <w:rPr>
          <w:rFonts w:ascii="宋体" w:hAnsi="宋体" w:cs="宋体"/>
          <w:color w:val="auto"/>
          <w:sz w:val="28"/>
          <w:szCs w:val="28"/>
          <w:highlight w:val="none"/>
        </w:rPr>
        <w:t>。</w:t>
      </w:r>
    </w:p>
    <w:p w14:paraId="382D44CA">
      <w:pPr>
        <w:spacing w:line="440" w:lineRule="exact"/>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6.</w:t>
      </w:r>
      <w:r>
        <w:rPr>
          <w:rFonts w:ascii="宋体" w:hAnsi="宋体" w:cs="宋体"/>
          <w:color w:val="auto"/>
          <w:sz w:val="28"/>
          <w:szCs w:val="28"/>
          <w:highlight w:val="none"/>
        </w:rPr>
        <w:t>因</w:t>
      </w:r>
      <w:r>
        <w:rPr>
          <w:rFonts w:hint="eastAsia" w:ascii="宋体" w:hAnsi="宋体" w:cs="宋体"/>
          <w:color w:val="auto"/>
          <w:sz w:val="28"/>
          <w:szCs w:val="28"/>
          <w:highlight w:val="none"/>
        </w:rPr>
        <w:t>项目业主单位</w:t>
      </w:r>
      <w:r>
        <w:rPr>
          <w:rFonts w:ascii="宋体" w:hAnsi="宋体" w:cs="宋体"/>
          <w:color w:val="auto"/>
          <w:sz w:val="28"/>
          <w:szCs w:val="28"/>
          <w:highlight w:val="none"/>
        </w:rPr>
        <w:t>或交易监督部门提出延期、撤销或暂停交易，或因不可抗力等原因造成交易延期、撤销或暂停，</w:t>
      </w:r>
      <w:r>
        <w:rPr>
          <w:rFonts w:hint="eastAsia" w:ascii="宋体" w:hAnsi="宋体" w:cs="宋体"/>
          <w:color w:val="auto"/>
          <w:sz w:val="28"/>
          <w:szCs w:val="28"/>
          <w:highlight w:val="none"/>
        </w:rPr>
        <w:t>交易中心</w:t>
      </w:r>
      <w:r>
        <w:rPr>
          <w:rFonts w:ascii="宋体" w:hAnsi="宋体" w:cs="宋体"/>
          <w:color w:val="auto"/>
          <w:sz w:val="28"/>
          <w:szCs w:val="28"/>
          <w:highlight w:val="none"/>
        </w:rPr>
        <w:t>不就竞投人的交易保证金利息、资金占用损失或其他损失承担赔偿责任。</w:t>
      </w:r>
    </w:p>
    <w:p w14:paraId="0E14AF7E">
      <w:pPr>
        <w:spacing w:line="440" w:lineRule="exact"/>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7.有关竞投人种类的说明、竞投人身份资料的说明、网上交易注册、竞投规则、交易结果公示及合同签订、交易保证金转账及处理须知、相关交易文件说明、违约违规责任、争议处理原则、其他注意事项详见《网上交易竞投人须知》，请竞投意向人务必仔细阅读。</w:t>
      </w:r>
    </w:p>
    <w:p w14:paraId="288EABFB">
      <w:pPr>
        <w:numPr>
          <w:ilvl w:val="0"/>
          <w:numId w:val="1"/>
        </w:numPr>
        <w:spacing w:line="440" w:lineRule="exact"/>
        <w:ind w:firstLine="560"/>
        <w:rPr>
          <w:rFonts w:hint="eastAsia" w:ascii="宋体" w:hAnsi="宋体" w:cs="宋体"/>
          <w:color w:val="auto"/>
          <w:sz w:val="28"/>
          <w:szCs w:val="28"/>
          <w:highlight w:val="none"/>
        </w:rPr>
      </w:pPr>
      <w:r>
        <w:rPr>
          <w:rFonts w:hint="eastAsia" w:ascii="宋体" w:hAnsi="宋体" w:cs="宋体"/>
          <w:b/>
          <w:bCs/>
          <w:color w:val="auto"/>
          <w:sz w:val="28"/>
          <w:szCs w:val="28"/>
          <w:highlight w:val="none"/>
        </w:rPr>
        <w:t xml:space="preserve">联系方式 </w:t>
      </w:r>
    </w:p>
    <w:p w14:paraId="0359C7A5">
      <w:pPr>
        <w:spacing w:line="440" w:lineRule="exact"/>
        <w:ind w:firstLine="700" w:firstLineChars="250"/>
        <w:rPr>
          <w:rFonts w:hint="eastAsia" w:ascii="宋体" w:hAnsi="宋体" w:cs="宋体"/>
          <w:color w:val="auto"/>
          <w:sz w:val="28"/>
          <w:szCs w:val="28"/>
          <w:highlight w:val="none"/>
        </w:rPr>
      </w:pPr>
      <w:r>
        <w:rPr>
          <w:rFonts w:hint="eastAsia" w:ascii="宋体" w:hAnsi="宋体" w:cs="宋体"/>
          <w:color w:val="auto"/>
          <w:sz w:val="28"/>
          <w:szCs w:val="28"/>
          <w:highlight w:val="none"/>
        </w:rPr>
        <w:t>广州市番禺区农村集体资产交易管理中心</w:t>
      </w:r>
    </w:p>
    <w:p w14:paraId="45DE1C5F">
      <w:pPr>
        <w:spacing w:line="440" w:lineRule="exact"/>
        <w:ind w:firstLine="700" w:firstLineChars="250"/>
        <w:rPr>
          <w:rFonts w:ascii="宋体" w:hAnsi="宋体" w:cs="宋体"/>
          <w:color w:val="auto"/>
          <w:sz w:val="28"/>
          <w:szCs w:val="28"/>
          <w:highlight w:val="none"/>
        </w:rPr>
      </w:pPr>
      <w:r>
        <w:rPr>
          <w:rFonts w:hint="eastAsia" w:ascii="宋体" w:hAnsi="宋体" w:cs="宋体"/>
          <w:color w:val="auto"/>
          <w:sz w:val="28"/>
          <w:szCs w:val="28"/>
          <w:highlight w:val="none"/>
        </w:rPr>
        <w:t>联系电话：020-39199319</w:t>
      </w:r>
    </w:p>
    <w:p w14:paraId="0A95C752">
      <w:pPr>
        <w:spacing w:line="440" w:lineRule="exact"/>
        <w:ind w:firstLine="700" w:firstLineChars="250"/>
        <w:rPr>
          <w:rFonts w:hint="eastAsia" w:ascii="仿宋" w:hAnsi="仿宋" w:eastAsia="仿宋" w:cs="仿宋"/>
          <w:color w:val="auto"/>
          <w:sz w:val="28"/>
          <w:szCs w:val="28"/>
          <w:highlight w:val="none"/>
        </w:rPr>
      </w:pPr>
      <w:r>
        <w:rPr>
          <w:rFonts w:hint="eastAsia" w:ascii="宋体" w:hAnsi="宋体" w:cs="宋体"/>
          <w:color w:val="auto"/>
          <w:sz w:val="28"/>
          <w:szCs w:val="28"/>
          <w:highlight w:val="none"/>
        </w:rPr>
        <w:t>地址：番禺区禺山西路景观大道沙头街道办事处东侧一楼</w:t>
      </w:r>
    </w:p>
    <w:p w14:paraId="357A96BD">
      <w:pPr>
        <w:spacing w:line="440" w:lineRule="exact"/>
        <w:ind w:firstLine="700" w:firstLineChars="250"/>
        <w:rPr>
          <w:rFonts w:hint="eastAsia" w:ascii="仿宋" w:hAnsi="仿宋" w:cs="仿宋"/>
          <w:color w:val="auto"/>
          <w:sz w:val="28"/>
          <w:szCs w:val="28"/>
          <w:highlight w:val="none"/>
        </w:rPr>
      </w:pPr>
      <w:r>
        <w:rPr>
          <w:rFonts w:hint="eastAsia" w:ascii="宋体" w:hAnsi="宋体" w:cs="宋体"/>
          <w:color w:val="auto"/>
          <w:sz w:val="28"/>
          <w:szCs w:val="28"/>
          <w:highlight w:val="none"/>
        </w:rPr>
        <w:t>查询网址：https://nclqyj.panyu.gd.cn</w:t>
      </w:r>
    </w:p>
    <w:p w14:paraId="5CB09BFC">
      <w:pPr>
        <w:spacing w:line="440" w:lineRule="exact"/>
        <w:ind w:firstLine="700" w:firstLineChars="250"/>
        <w:rPr>
          <w:rFonts w:hint="eastAsia" w:ascii="宋体" w:hAnsi="宋体" w:eastAsia="宋体" w:cs="宋体"/>
          <w:color w:val="auto"/>
          <w:sz w:val="28"/>
          <w:szCs w:val="28"/>
          <w:highlight w:val="none"/>
          <w:u w:val="single"/>
          <w:lang w:eastAsia="zh-CN"/>
        </w:rPr>
      </w:pPr>
      <w:r>
        <w:rPr>
          <w:rFonts w:hint="eastAsia" w:ascii="宋体" w:hAnsi="宋体" w:cs="宋体"/>
          <w:color w:val="auto"/>
          <w:sz w:val="28"/>
          <w:szCs w:val="28"/>
          <w:highlight w:val="none"/>
        </w:rPr>
        <w:t>项目业主单位联系人：</w:t>
      </w:r>
      <w:r>
        <w:rPr>
          <w:rFonts w:hint="eastAsia" w:ascii="宋体" w:hAnsi="宋体" w:cs="宋体"/>
          <w:color w:val="auto"/>
          <w:sz w:val="28"/>
          <w:szCs w:val="28"/>
          <w:highlight w:val="none"/>
          <w:u w:val="single"/>
          <w:lang w:eastAsia="zh-CN"/>
        </w:rPr>
        <w:t>谭国容</w:t>
      </w:r>
    </w:p>
    <w:p w14:paraId="4775332C">
      <w:pPr>
        <w:spacing w:line="440" w:lineRule="exact"/>
        <w:ind w:firstLine="700" w:firstLineChars="25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项目业主单位联系电话：</w:t>
      </w:r>
      <w:r>
        <w:rPr>
          <w:rFonts w:hint="eastAsia" w:ascii="宋体" w:hAnsi="宋体" w:cs="宋体"/>
          <w:color w:val="auto"/>
          <w:sz w:val="28"/>
          <w:szCs w:val="28"/>
          <w:highlight w:val="none"/>
          <w:u w:val="single"/>
          <w:lang w:val="en-US" w:eastAsia="zh-CN"/>
        </w:rPr>
        <w:t>13602275577</w:t>
      </w:r>
    </w:p>
    <w:p w14:paraId="007BD1C8">
      <w:pPr>
        <w:spacing w:line="440" w:lineRule="exact"/>
        <w:ind w:firstLine="700" w:firstLineChars="250"/>
        <w:rPr>
          <w:rFonts w:hint="default" w:eastAsia="宋体"/>
          <w:color w:val="auto"/>
          <w:highlight w:val="none"/>
          <w:lang w:val="en-US" w:eastAsia="zh-CN"/>
        </w:rPr>
      </w:pPr>
      <w:r>
        <w:rPr>
          <w:rFonts w:hint="eastAsia" w:ascii="宋体" w:hAnsi="宋体" w:cs="宋体"/>
          <w:color w:val="auto"/>
          <w:sz w:val="28"/>
          <w:szCs w:val="28"/>
          <w:highlight w:val="none"/>
        </w:rPr>
        <w:t>项目业主单位联系地址：</w:t>
      </w:r>
      <w:r>
        <w:rPr>
          <w:rFonts w:hint="eastAsia" w:ascii="宋体" w:hAnsi="宋体" w:cs="宋体"/>
          <w:color w:val="auto"/>
          <w:sz w:val="28"/>
          <w:szCs w:val="28"/>
          <w:highlight w:val="none"/>
          <w:u w:val="single"/>
          <w:lang w:eastAsia="zh-CN"/>
        </w:rPr>
        <w:t>广州市番禺区大龙街富怡路</w:t>
      </w:r>
      <w:r>
        <w:rPr>
          <w:rFonts w:hint="eastAsia" w:ascii="宋体" w:hAnsi="宋体" w:cs="宋体"/>
          <w:color w:val="auto"/>
          <w:sz w:val="28"/>
          <w:szCs w:val="28"/>
          <w:highlight w:val="none"/>
          <w:u w:val="single"/>
          <w:lang w:val="en-US" w:eastAsia="zh-CN"/>
        </w:rPr>
        <w:t>268号</w:t>
      </w:r>
    </w:p>
    <w:p w14:paraId="5A3EC62A">
      <w:pPr>
        <w:numPr>
          <w:ilvl w:val="0"/>
          <w:numId w:val="1"/>
        </w:numPr>
        <w:spacing w:line="440" w:lineRule="exact"/>
        <w:ind w:firstLine="560"/>
        <w:rPr>
          <w:rFonts w:hint="eastAsia" w:ascii="宋体" w:hAnsi="宋体" w:cs="宋体"/>
          <w:color w:val="auto"/>
          <w:sz w:val="28"/>
          <w:szCs w:val="28"/>
          <w:highlight w:val="none"/>
        </w:rPr>
      </w:pPr>
      <w:r>
        <w:rPr>
          <w:rFonts w:hint="eastAsia" w:ascii="宋体" w:hAnsi="宋体" w:cs="宋体"/>
          <w:b/>
          <w:bCs/>
          <w:color w:val="auto"/>
          <w:sz w:val="28"/>
          <w:szCs w:val="28"/>
          <w:highlight w:val="none"/>
        </w:rPr>
        <w:t>监督方式</w:t>
      </w:r>
      <w:r>
        <w:rPr>
          <w:rFonts w:hint="eastAsia" w:ascii="宋体" w:hAnsi="宋体" w:cs="宋体"/>
          <w:color w:val="auto"/>
          <w:sz w:val="28"/>
          <w:szCs w:val="28"/>
          <w:highlight w:val="none"/>
        </w:rPr>
        <w:t>：</w:t>
      </w:r>
    </w:p>
    <w:p w14:paraId="500AB750">
      <w:pPr>
        <w:spacing w:line="440" w:lineRule="exact"/>
        <w:ind w:firstLine="700" w:firstLineChars="25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凡发现竞投中有违规行为的，请如实举报。举报监督电话：番禺区农业农村局020-84813208。  </w:t>
      </w:r>
    </w:p>
    <w:p w14:paraId="30077FC2">
      <w:pPr>
        <w:pStyle w:val="2"/>
        <w:ind w:firstLine="210"/>
        <w:rPr>
          <w:rFonts w:hint="eastAsia"/>
          <w:color w:val="auto"/>
          <w:highlight w:val="none"/>
        </w:rPr>
      </w:pPr>
    </w:p>
    <w:p w14:paraId="102CDA5D">
      <w:pPr>
        <w:spacing w:line="440" w:lineRule="exact"/>
        <w:ind w:firstLine="700" w:firstLineChars="25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广州市番禺区农村集体资产交易管理中心</w:t>
      </w:r>
    </w:p>
    <w:p w14:paraId="3B5A421A">
      <w:pPr>
        <w:spacing w:line="440" w:lineRule="exact"/>
        <w:ind w:firstLine="700" w:firstLineChars="250"/>
        <w:jc w:val="center"/>
        <w:rPr>
          <w:rFonts w:hint="eastAsia" w:ascii="方正小标宋简体" w:hAnsi="方正小标宋简体" w:eastAsia="方正小标宋简体" w:cs="方正小标宋简体"/>
          <w:b/>
          <w:color w:val="auto"/>
          <w:sz w:val="44"/>
          <w:szCs w:val="44"/>
          <w:highlight w:val="none"/>
        </w:rPr>
      </w:pPr>
      <w:r>
        <w:rPr>
          <w:rFonts w:hint="eastAsia" w:ascii="宋体" w:hAnsi="宋体" w:cs="宋体"/>
          <w:color w:val="auto"/>
          <w:sz w:val="28"/>
          <w:szCs w:val="28"/>
          <w:highlight w:val="none"/>
        </w:rPr>
        <w:t xml:space="preserve">                         年      月      日</w:t>
      </w:r>
    </w:p>
    <w:p w14:paraId="3D6BC90D">
      <w:pPr>
        <w:spacing w:line="460" w:lineRule="exact"/>
        <w:jc w:val="center"/>
        <w:rPr>
          <w:rFonts w:hint="eastAsia" w:ascii="方正小标宋简体" w:hAnsi="方正小标宋简体" w:eastAsia="方正小标宋简体" w:cs="方正小标宋简体"/>
          <w:b/>
          <w:color w:val="auto"/>
          <w:sz w:val="44"/>
          <w:szCs w:val="44"/>
          <w:highlight w:val="none"/>
        </w:rPr>
      </w:pPr>
    </w:p>
    <w:p w14:paraId="1E77D7ED">
      <w:pPr>
        <w:spacing w:line="460" w:lineRule="exact"/>
        <w:jc w:val="center"/>
        <w:rPr>
          <w:rFonts w:hint="eastAsia" w:ascii="方正小标宋简体" w:hAnsi="方正小标宋简体" w:eastAsia="方正小标宋简体" w:cs="方正小标宋简体"/>
          <w:b/>
          <w:color w:val="auto"/>
          <w:sz w:val="44"/>
          <w:szCs w:val="44"/>
          <w:highlight w:val="none"/>
        </w:rPr>
      </w:pPr>
    </w:p>
    <w:p w14:paraId="2D0BD570">
      <w:pPr>
        <w:spacing w:line="460" w:lineRule="exact"/>
        <w:jc w:val="center"/>
        <w:rPr>
          <w:rFonts w:hint="eastAsia"/>
          <w:color w:val="auto"/>
          <w:highlight w:val="none"/>
        </w:rPr>
      </w:pPr>
      <w:r>
        <w:rPr>
          <w:rFonts w:hint="eastAsia" w:ascii="方正小标宋简体" w:hAnsi="方正小标宋简体" w:eastAsia="方正小标宋简体" w:cs="方正小标宋简体"/>
          <w:b/>
          <w:color w:val="auto"/>
          <w:sz w:val="44"/>
          <w:szCs w:val="44"/>
          <w:highlight w:val="none"/>
        </w:rPr>
        <w:t>第二章 合同格式</w:t>
      </w:r>
    </w:p>
    <w:p w14:paraId="312FB029">
      <w:pPr>
        <w:jc w:val="center"/>
        <w:rPr>
          <w:rFonts w:hint="eastAsia"/>
          <w:color w:val="auto"/>
          <w:sz w:val="32"/>
          <w:szCs w:val="32"/>
          <w:highlight w:val="none"/>
          <w:lang w:eastAsia="zh-CN"/>
        </w:rPr>
      </w:pPr>
      <w:r>
        <w:rPr>
          <w:rFonts w:hint="eastAsia"/>
          <w:color w:val="auto"/>
          <w:sz w:val="32"/>
          <w:szCs w:val="32"/>
          <w:highlight w:val="none"/>
        </w:rPr>
        <w:t>（附通过村集体表决的合同</w:t>
      </w:r>
      <w:r>
        <w:rPr>
          <w:rFonts w:hint="eastAsia"/>
          <w:color w:val="auto"/>
          <w:sz w:val="32"/>
          <w:szCs w:val="32"/>
          <w:highlight w:val="none"/>
          <w:lang w:eastAsia="zh-CN"/>
        </w:rPr>
        <w:t>）</w:t>
      </w:r>
    </w:p>
    <w:p w14:paraId="002ADFA1">
      <w:pPr>
        <w:pStyle w:val="15"/>
        <w:widowControl/>
        <w:shd w:val="clear" w:color="auto" w:fill="FFFFFF"/>
        <w:spacing w:line="500" w:lineRule="exact"/>
        <w:rPr>
          <w:rFonts w:ascii="宋体" w:hAnsi="宋体" w:cs="Arial"/>
          <w:color w:val="auto"/>
          <w:kern w:val="0"/>
          <w:sz w:val="24"/>
        </w:rPr>
      </w:pPr>
      <w:bookmarkStart w:id="1" w:name="_Toc4466"/>
      <w:r>
        <w:rPr>
          <w:rFonts w:hint="eastAsia" w:ascii="宋体" w:hAnsi="宋体" w:cs="Arial"/>
          <w:color w:val="auto"/>
          <w:kern w:val="0"/>
          <w:sz w:val="24"/>
        </w:rPr>
        <w:t>合同编号：</w:t>
      </w:r>
    </w:p>
    <w:p w14:paraId="3930BF5D">
      <w:pPr>
        <w:pStyle w:val="15"/>
        <w:widowControl/>
        <w:shd w:val="clear" w:color="auto" w:fill="FFFFFF"/>
        <w:spacing w:line="500" w:lineRule="exact"/>
        <w:ind w:firstLine="883" w:firstLineChars="200"/>
        <w:jc w:val="center"/>
        <w:rPr>
          <w:rFonts w:ascii="仿宋_GB2312" w:hAnsi="Arial" w:eastAsia="仿宋_GB2312" w:cs="Arial"/>
          <w:b/>
          <w:bCs/>
          <w:color w:val="auto"/>
          <w:kern w:val="0"/>
          <w:sz w:val="44"/>
          <w:szCs w:val="44"/>
        </w:rPr>
      </w:pPr>
      <w:r>
        <w:rPr>
          <w:rFonts w:hint="eastAsia" w:ascii="仿宋_GB2312" w:hAnsi="Arial" w:eastAsia="仿宋_GB2312" w:cs="Arial"/>
          <w:b/>
          <w:bCs/>
          <w:color w:val="auto"/>
          <w:kern w:val="0"/>
          <w:sz w:val="44"/>
          <w:szCs w:val="44"/>
        </w:rPr>
        <w:t>厂房租赁合同</w:t>
      </w:r>
      <w:bookmarkEnd w:id="1"/>
    </w:p>
    <w:p w14:paraId="28EBBFF7">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883" w:firstLineChars="200"/>
        <w:jc w:val="center"/>
        <w:textAlignment w:val="auto"/>
        <w:rPr>
          <w:rFonts w:ascii="仿宋_GB2312" w:hAnsi="Arial" w:eastAsia="仿宋_GB2312" w:cs="Arial"/>
          <w:b/>
          <w:bCs/>
          <w:color w:val="auto"/>
          <w:kern w:val="0"/>
          <w:sz w:val="44"/>
          <w:szCs w:val="44"/>
        </w:rPr>
      </w:pPr>
    </w:p>
    <w:p w14:paraId="6E9204E7">
      <w:pPr>
        <w:pStyle w:val="15"/>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ascii="宋体" w:hAnsi="宋体" w:cs="宋体"/>
          <w:color w:val="auto"/>
          <w:kern w:val="0"/>
          <w:sz w:val="24"/>
        </w:rPr>
      </w:pPr>
      <w:r>
        <w:rPr>
          <w:rFonts w:hint="eastAsia" w:ascii="宋体" w:hAnsi="宋体" w:cs="宋体"/>
          <w:color w:val="auto"/>
          <w:kern w:val="0"/>
          <w:sz w:val="24"/>
        </w:rPr>
        <w:t>甲方（出租人）：</w:t>
      </w:r>
      <w:r>
        <w:rPr>
          <w:rFonts w:hint="eastAsia" w:ascii="宋体" w:hAnsi="宋体" w:cs="宋体"/>
          <w:color w:val="auto"/>
          <w:sz w:val="24"/>
        </w:rPr>
        <w:t>广州市番禺区</w:t>
      </w:r>
      <w:r>
        <w:rPr>
          <w:rFonts w:hint="eastAsia" w:ascii="宋体" w:hAnsi="宋体" w:cs="宋体"/>
          <w:color w:val="auto"/>
          <w:kern w:val="0"/>
          <w:sz w:val="24"/>
        </w:rPr>
        <w:t>大龙街大龙村股份合作经济社</w:t>
      </w:r>
    </w:p>
    <w:p w14:paraId="408F4EC5">
      <w:pPr>
        <w:pStyle w:val="15"/>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ascii="宋体" w:hAnsi="宋体" w:cs="宋体"/>
          <w:color w:val="auto"/>
          <w:kern w:val="0"/>
          <w:sz w:val="24"/>
        </w:rPr>
      </w:pPr>
      <w:r>
        <w:rPr>
          <w:rFonts w:hint="eastAsia" w:ascii="宋体" w:hAnsi="宋体" w:cs="宋体"/>
          <w:color w:val="auto"/>
          <w:kern w:val="0"/>
          <w:sz w:val="24"/>
        </w:rPr>
        <w:t>法定代表人：孔健新</w:t>
      </w:r>
    </w:p>
    <w:p w14:paraId="63C84C7A">
      <w:pPr>
        <w:pStyle w:val="15"/>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ascii="宋体" w:hAnsi="宋体" w:cs="宋体"/>
          <w:color w:val="auto"/>
          <w:kern w:val="0"/>
          <w:sz w:val="24"/>
        </w:rPr>
      </w:pPr>
      <w:r>
        <w:rPr>
          <w:rFonts w:hint="eastAsia" w:ascii="宋体" w:hAnsi="宋体" w:cs="宋体"/>
          <w:color w:val="auto"/>
          <w:kern w:val="0"/>
          <w:sz w:val="24"/>
        </w:rPr>
        <w:t>地址：番禺区大龙街富怡路268号</w:t>
      </w:r>
    </w:p>
    <w:p w14:paraId="595D2255">
      <w:pPr>
        <w:pStyle w:val="15"/>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ascii="宋体" w:hAnsi="宋体" w:cs="宋体"/>
          <w:color w:val="auto"/>
          <w:kern w:val="0"/>
          <w:sz w:val="24"/>
        </w:rPr>
      </w:pPr>
      <w:r>
        <w:rPr>
          <w:rFonts w:hint="eastAsia" w:ascii="宋体" w:hAnsi="宋体" w:cs="宋体"/>
          <w:color w:val="auto"/>
          <w:kern w:val="0"/>
          <w:sz w:val="24"/>
        </w:rPr>
        <w:t>电话：020-84853313</w:t>
      </w:r>
    </w:p>
    <w:p w14:paraId="2373B105">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kern w:val="0"/>
          <w:sz w:val="24"/>
        </w:rPr>
      </w:pPr>
    </w:p>
    <w:p w14:paraId="360BE16E">
      <w:pPr>
        <w:pStyle w:val="15"/>
        <w:keepNext w:val="0"/>
        <w:keepLines w:val="0"/>
        <w:pageBreakBefore w:val="0"/>
        <w:widowControl/>
        <w:shd w:val="clear" w:color="auto" w:fill="FFFFFF"/>
        <w:kinsoku/>
        <w:wordWrap/>
        <w:overflowPunct/>
        <w:topLinePunct w:val="0"/>
        <w:autoSpaceDE/>
        <w:autoSpaceDN/>
        <w:bidi w:val="0"/>
        <w:snapToGrid/>
        <w:spacing w:line="480" w:lineRule="exact"/>
        <w:ind w:left="1920" w:hanging="1920" w:hangingChars="800"/>
        <w:jc w:val="left"/>
        <w:textAlignment w:val="auto"/>
        <w:rPr>
          <w:rFonts w:ascii="宋体" w:hAnsi="宋体" w:cs="宋体"/>
          <w:color w:val="auto"/>
          <w:kern w:val="0"/>
          <w:sz w:val="24"/>
        </w:rPr>
      </w:pPr>
      <w:r>
        <w:rPr>
          <w:rFonts w:hint="eastAsia" w:ascii="宋体" w:hAnsi="宋体" w:cs="宋体"/>
          <w:color w:val="auto"/>
          <w:kern w:val="0"/>
          <w:sz w:val="24"/>
        </w:rPr>
        <w:t>乙方（承租人）：</w:t>
      </w:r>
    </w:p>
    <w:p w14:paraId="78564673">
      <w:pPr>
        <w:pStyle w:val="15"/>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ascii="宋体" w:hAnsi="宋体" w:cs="宋体"/>
          <w:color w:val="auto"/>
          <w:kern w:val="0"/>
          <w:sz w:val="24"/>
        </w:rPr>
      </w:pPr>
      <w:r>
        <w:rPr>
          <w:rFonts w:hint="eastAsia" w:ascii="宋体" w:hAnsi="宋体" w:cs="宋体"/>
          <w:color w:val="auto"/>
          <w:kern w:val="0"/>
          <w:sz w:val="24"/>
        </w:rPr>
        <w:t>法定代表人：</w:t>
      </w:r>
    </w:p>
    <w:p w14:paraId="033555A9">
      <w:pPr>
        <w:pStyle w:val="15"/>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ascii="宋体" w:hAnsi="宋体" w:cs="宋体"/>
          <w:color w:val="auto"/>
          <w:kern w:val="0"/>
          <w:sz w:val="24"/>
        </w:rPr>
      </w:pPr>
      <w:r>
        <w:rPr>
          <w:rFonts w:hint="eastAsia" w:ascii="宋体" w:hAnsi="宋体" w:cs="宋体"/>
          <w:color w:val="auto"/>
          <w:kern w:val="0"/>
          <w:sz w:val="24"/>
        </w:rPr>
        <w:t>证件号码：</w:t>
      </w:r>
    </w:p>
    <w:p w14:paraId="68122A75">
      <w:pPr>
        <w:pStyle w:val="15"/>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ascii="宋体" w:hAnsi="宋体" w:cs="宋体"/>
          <w:color w:val="auto"/>
          <w:kern w:val="0"/>
          <w:sz w:val="24"/>
        </w:rPr>
      </w:pPr>
      <w:r>
        <w:rPr>
          <w:rFonts w:hint="eastAsia" w:ascii="宋体" w:hAnsi="宋体" w:cs="宋体"/>
          <w:color w:val="auto"/>
          <w:kern w:val="0"/>
          <w:sz w:val="24"/>
        </w:rPr>
        <w:t>地址：</w:t>
      </w:r>
    </w:p>
    <w:p w14:paraId="77426BCC">
      <w:pPr>
        <w:pStyle w:val="15"/>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ascii="宋体" w:hAnsi="宋体" w:cs="宋体"/>
          <w:color w:val="auto"/>
          <w:kern w:val="0"/>
          <w:sz w:val="24"/>
        </w:rPr>
      </w:pPr>
      <w:r>
        <w:rPr>
          <w:rFonts w:hint="eastAsia" w:ascii="宋体" w:hAnsi="宋体" w:cs="宋体"/>
          <w:color w:val="auto"/>
          <w:kern w:val="0"/>
          <w:sz w:val="24"/>
        </w:rPr>
        <w:t>电话：</w:t>
      </w:r>
    </w:p>
    <w:p w14:paraId="024F4A68">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kern w:val="0"/>
          <w:sz w:val="24"/>
        </w:rPr>
      </w:pPr>
    </w:p>
    <w:p w14:paraId="4A182ACF">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根据《中华人民共和国民法典》等有关法律、法规的规定，按照《广州市农村集体资产交易管理办法》的要求，甲乙双方在平等、自愿的基础上，就有关事宜达成协议如下：</w:t>
      </w:r>
    </w:p>
    <w:p w14:paraId="4B15986A">
      <w:pPr>
        <w:pStyle w:val="15"/>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sz w:val="24"/>
        </w:rPr>
      </w:pPr>
      <w:r>
        <w:rPr>
          <w:rFonts w:hint="eastAsia" w:ascii="宋体" w:hAnsi="宋体" w:cs="宋体"/>
          <w:b/>
          <w:color w:val="auto"/>
          <w:sz w:val="24"/>
        </w:rPr>
        <w:t>一、厂房基本情况</w:t>
      </w:r>
    </w:p>
    <w:p w14:paraId="2EA1DD80">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kern w:val="0"/>
          <w:sz w:val="24"/>
        </w:rPr>
      </w:pPr>
      <w:r>
        <w:rPr>
          <w:rFonts w:hint="eastAsia" w:ascii="宋体" w:hAnsi="宋体" w:cs="宋体"/>
          <w:bCs/>
          <w:color w:val="auto"/>
          <w:kern w:val="0"/>
          <w:sz w:val="24"/>
        </w:rPr>
        <w:t>1.甲方同意将</w:t>
      </w:r>
      <w:r>
        <w:rPr>
          <w:rFonts w:hint="eastAsia" w:ascii="宋体" w:hAnsi="宋体" w:cs="宋体"/>
          <w:color w:val="auto"/>
          <w:kern w:val="0"/>
          <w:sz w:val="24"/>
        </w:rPr>
        <w:t>位于大龙街金龙路201-1号厂房出租给乙方，该厂房由</w:t>
      </w:r>
      <w:r>
        <w:rPr>
          <w:rFonts w:hint="eastAsia" w:ascii="宋体" w:hAnsi="宋体" w:cs="宋体"/>
          <w:color w:val="auto"/>
          <w:sz w:val="24"/>
          <w:shd w:val="clear" w:color="auto" w:fill="FFFFFF"/>
        </w:rPr>
        <w:t>乙</w:t>
      </w:r>
      <w:r>
        <w:rPr>
          <w:rFonts w:hint="eastAsia" w:ascii="宋体" w:hAnsi="宋体" w:cs="宋体"/>
          <w:color w:val="auto"/>
          <w:kern w:val="0"/>
          <w:sz w:val="24"/>
        </w:rPr>
        <w:t>方通过广州市番禺区农村集体资产交易管理中心举行的公开竞投竞得。</w:t>
      </w:r>
    </w:p>
    <w:p w14:paraId="293F1174">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2.该厂房的占地面积3208平方米，厂房建筑面积5583.7平方米【其中钢筋混凝土厂房4639.7 平方米（1幢3层，有证），门卫室27平方米（1幢1层），简易厂房917平方米（3幢1层）】，空地面积757.3平方米。</w:t>
      </w:r>
    </w:p>
    <w:p w14:paraId="1B928438">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3.甲乙双方约定该厂房的用途为工业。作法律许可的用途合法使用，不得在本租赁物内经营污染（包括噪音、废液、粉尘）项目。严禁小散乱污行业经营，排污要征得政府行业准许，符合河涌治理、排水、环保等相关政策法规；不得在租赁物内非法存放易燃、易爆等危险物品及违禁物品，并接受政府部门及甲方的安全监督、检查、指导。不能用于废品收购业、石油气充气站、洗水印花业等有污染行业。未经甲方书面同意，乙方不得擅自改变厂房用途。</w:t>
      </w:r>
    </w:p>
    <w:p w14:paraId="6B793952">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bCs/>
          <w:color w:val="auto"/>
          <w:sz w:val="24"/>
        </w:rPr>
      </w:pPr>
      <w:r>
        <w:rPr>
          <w:rFonts w:hint="eastAsia" w:ascii="宋体" w:hAnsi="宋体" w:cs="宋体"/>
          <w:b/>
          <w:bCs/>
          <w:color w:val="auto"/>
          <w:kern w:val="0"/>
          <w:sz w:val="24"/>
        </w:rPr>
        <w:t>4.该厂房主体已取得产权证(不动产权证号：粤房地权证穗字第0210216094号）。</w:t>
      </w:r>
      <w:r>
        <w:rPr>
          <w:rFonts w:hint="eastAsia" w:ascii="宋体" w:hAnsi="宋体" w:cs="宋体"/>
          <w:b/>
          <w:bCs/>
          <w:color w:val="auto"/>
          <w:sz w:val="24"/>
          <w:shd w:val="clear" w:color="auto" w:fill="FFFFFF"/>
        </w:rPr>
        <w:t>乙</w:t>
      </w:r>
      <w:r>
        <w:rPr>
          <w:rFonts w:hint="eastAsia" w:ascii="宋体" w:hAnsi="宋体" w:cs="宋体"/>
          <w:b/>
          <w:bCs/>
          <w:color w:val="auto"/>
          <w:kern w:val="0"/>
          <w:sz w:val="24"/>
        </w:rPr>
        <w:t>方已</w:t>
      </w:r>
      <w:r>
        <w:rPr>
          <w:rFonts w:hint="eastAsia" w:ascii="宋体" w:hAnsi="宋体" w:cs="宋体"/>
          <w:b/>
          <w:bCs/>
          <w:color w:val="auto"/>
          <w:sz w:val="24"/>
        </w:rPr>
        <w:t>知晓该厂房的所有现状,不因厂房本身包括但不限于权属问题要求违约、解约及要求出租人赔偿以及追诉</w:t>
      </w:r>
      <w:r>
        <w:rPr>
          <w:rFonts w:hint="eastAsia" w:ascii="宋体" w:hAnsi="宋体" w:cs="宋体"/>
          <w:b/>
          <w:bCs/>
          <w:color w:val="auto"/>
          <w:kern w:val="0"/>
          <w:sz w:val="24"/>
        </w:rPr>
        <w:t>甲方</w:t>
      </w:r>
      <w:r>
        <w:rPr>
          <w:rFonts w:hint="eastAsia" w:ascii="宋体" w:hAnsi="宋体" w:cs="宋体"/>
          <w:b/>
          <w:bCs/>
          <w:color w:val="auto"/>
          <w:sz w:val="24"/>
        </w:rPr>
        <w:t>的法律责任。</w:t>
      </w:r>
    </w:p>
    <w:p w14:paraId="7366A369">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sz w:val="24"/>
        </w:rPr>
      </w:pPr>
      <w:r>
        <w:rPr>
          <w:rFonts w:hint="eastAsia" w:ascii="宋体" w:hAnsi="宋体" w:cs="宋体"/>
          <w:color w:val="auto"/>
          <w:sz w:val="24"/>
        </w:rPr>
        <w:t>5.部分建筑物具有不动产权证号（产权证号：粤房地权证穗字第0210216094号），部分建构筑物则无建设工程规划许可证或不动产权证，且全部建筑物均无办理消防、排水、排污等申报审批许可手续。乙方已充分阅读并知悉前述不动产权证的内容，且乙方已经对上述租赁土地及厂房进行实地考察，已经全面清楚了解并接受该土地及厂房的所有状况（包括但不限于产权、规划、用地审批、报建等情况），乙方已知晓该土地及厂房的所有现状,不因土地本身包括但不限于规划、消防、产权证、权属问题要求违约、解约及要求甲方赔偿以</w:t>
      </w:r>
      <w:r>
        <w:rPr>
          <w:rFonts w:hint="eastAsia" w:ascii="宋体" w:hAnsi="宋体" w:cs="宋体"/>
          <w:color w:val="auto"/>
          <w:kern w:val="0"/>
          <w:sz w:val="24"/>
        </w:rPr>
        <w:t>及追究甲</w:t>
      </w:r>
      <w:r>
        <w:rPr>
          <w:rFonts w:hint="eastAsia" w:ascii="宋体" w:hAnsi="宋体" w:cs="宋体"/>
          <w:color w:val="auto"/>
          <w:sz w:val="24"/>
        </w:rPr>
        <w:t>方的法律责任。由此产生的风险和经济损失由乙方自行承担，与甲方无关。</w:t>
      </w:r>
    </w:p>
    <w:p w14:paraId="43D1CE59">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二、时间</w:t>
      </w:r>
    </w:p>
    <w:p w14:paraId="74B8F2DB">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1.该厂房的租赁期限为：自202</w:t>
      </w:r>
      <w:r>
        <w:rPr>
          <w:rFonts w:hint="eastAsia" w:ascii="宋体" w:hAnsi="宋体" w:cs="宋体"/>
          <w:color w:val="auto"/>
          <w:kern w:val="0"/>
          <w:sz w:val="24"/>
          <w:u w:val="single"/>
        </w:rPr>
        <w:t xml:space="preserve">  </w:t>
      </w:r>
      <w:r>
        <w:rPr>
          <w:rFonts w:hint="eastAsia" w:ascii="宋体" w:hAnsi="宋体" w:cs="宋体"/>
          <w:color w:val="auto"/>
          <w:kern w:val="0"/>
          <w:sz w:val="24"/>
        </w:rPr>
        <w:t>年</w:t>
      </w:r>
      <w:bookmarkStart w:id="2" w:name="OLE_LINK2"/>
      <w:r>
        <w:rPr>
          <w:rFonts w:hint="eastAsia" w:ascii="宋体" w:hAnsi="宋体" w:cs="宋体"/>
          <w:color w:val="auto"/>
          <w:kern w:val="0"/>
          <w:sz w:val="24"/>
          <w:u w:val="single"/>
        </w:rPr>
        <w:t xml:space="preserve">  </w:t>
      </w:r>
      <w:bookmarkEnd w:id="2"/>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日起至203</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日止，共计10年。</w:t>
      </w:r>
    </w:p>
    <w:p w14:paraId="735F51B9">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2.甲方在收到乙方交付的履约保证金及首</w:t>
      </w:r>
      <w:r>
        <w:rPr>
          <w:rFonts w:hint="eastAsia" w:ascii="宋体" w:hAnsi="宋体" w:cs="宋体"/>
          <w:color w:val="auto"/>
          <w:kern w:val="0"/>
          <w:sz w:val="24"/>
          <w:lang w:eastAsia="zh-CN"/>
        </w:rPr>
        <w:t>次</w:t>
      </w:r>
      <w:r>
        <w:rPr>
          <w:rFonts w:hint="eastAsia" w:ascii="宋体" w:hAnsi="宋体" w:cs="宋体"/>
          <w:color w:val="auto"/>
          <w:kern w:val="0"/>
          <w:sz w:val="24"/>
        </w:rPr>
        <w:t>租金及管理费后，须于202</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日移交厂房给乙方使用，因乙方原因，厂房未能交付的，乙方仍需按合同的租赁期限交纳租金及管理费。</w:t>
      </w:r>
    </w:p>
    <w:p w14:paraId="2ACF0F8F">
      <w:pPr>
        <w:pStyle w:val="15"/>
        <w:keepNext w:val="0"/>
        <w:keepLines w:val="0"/>
        <w:pageBreakBefore w:val="0"/>
        <w:numPr>
          <w:ilvl w:val="0"/>
          <w:numId w:val="3"/>
        </w:numPr>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为了支持乙方在该厂房的投入和装修，202</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日至202</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日为免租装修期（免租装修期1个月），从202</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日开始按合同约定的租金计收。免租期内仅无需支付厂房租金及管理费，但需支付卫生费（卫生费按村收费标准收取，每月5</w:t>
      </w:r>
      <w:r>
        <w:rPr>
          <w:rFonts w:hint="eastAsia" w:ascii="宋体" w:hAnsi="宋体" w:cs="宋体"/>
          <w:color w:val="auto"/>
          <w:kern w:val="0"/>
          <w:sz w:val="24"/>
          <w:lang w:val="en-US" w:eastAsia="zh-CN"/>
        </w:rPr>
        <w:t>00</w:t>
      </w:r>
      <w:r>
        <w:rPr>
          <w:rFonts w:hint="eastAsia" w:ascii="宋体" w:hAnsi="宋体" w:cs="宋体"/>
          <w:color w:val="auto"/>
          <w:kern w:val="0"/>
          <w:sz w:val="24"/>
        </w:rPr>
        <w:t>元），厂房其他风险及相关责任自厂房交付时起转移至乙方承担。</w:t>
      </w:r>
    </w:p>
    <w:p w14:paraId="5413B586">
      <w:pPr>
        <w:pStyle w:val="15"/>
        <w:keepNext w:val="0"/>
        <w:keepLines w:val="0"/>
        <w:pageBreakBefore w:val="0"/>
        <w:widowControl/>
        <w:numPr>
          <w:ilvl w:val="0"/>
          <w:numId w:val="4"/>
        </w:numPr>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价款</w:t>
      </w:r>
    </w:p>
    <w:p w14:paraId="0C2B614D">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1.甲乙双方签订合同时，乙方竞投时交纳的交易保证金￥100万元（大写：壹佰万元整）自动转为合同履约保证金￥</w:t>
      </w:r>
      <w:r>
        <w:rPr>
          <w:rFonts w:hint="eastAsia" w:ascii="宋体" w:hAnsi="宋体" w:cs="宋体"/>
          <w:color w:val="auto"/>
          <w:kern w:val="0"/>
          <w:sz w:val="24"/>
          <w:u w:val="single"/>
        </w:rPr>
        <w:t xml:space="preserve">      </w:t>
      </w:r>
      <w:r>
        <w:rPr>
          <w:rFonts w:hint="eastAsia" w:ascii="宋体" w:hAnsi="宋体" w:cs="宋体"/>
          <w:color w:val="auto"/>
          <w:kern w:val="0"/>
          <w:sz w:val="24"/>
        </w:rPr>
        <w:t>元（大写</w:t>
      </w:r>
      <w:r>
        <w:rPr>
          <w:rFonts w:hint="eastAsia" w:ascii="宋体" w:hAnsi="宋体" w:cs="宋体"/>
          <w:color w:val="auto"/>
          <w:kern w:val="0"/>
          <w:sz w:val="24"/>
          <w:u w:val="single"/>
        </w:rPr>
        <w:t xml:space="preserve">                     </w:t>
      </w:r>
      <w:r>
        <w:rPr>
          <w:rFonts w:hint="eastAsia" w:ascii="宋体" w:hAnsi="宋体" w:cs="宋体"/>
          <w:color w:val="auto"/>
          <w:kern w:val="0"/>
          <w:sz w:val="24"/>
        </w:rPr>
        <w:t>元整），多余款项作为预交</w:t>
      </w:r>
      <w:r>
        <w:rPr>
          <w:rFonts w:hint="eastAsia" w:ascii="宋体" w:hAnsi="宋体" w:cs="宋体"/>
          <w:color w:val="auto"/>
          <w:kern w:val="0"/>
          <w:sz w:val="24"/>
          <w:lang w:val="en-US" w:eastAsia="zh-CN"/>
        </w:rPr>
        <w:t>首月租金、管理费，不足的签约当天补齐；若有余继续抵扣下一个月的租金、管理费。</w:t>
      </w:r>
      <w:r>
        <w:rPr>
          <w:rFonts w:hint="eastAsia" w:ascii="宋体" w:hAnsi="宋体" w:cs="宋体"/>
          <w:color w:val="auto"/>
          <w:kern w:val="0"/>
          <w:sz w:val="24"/>
        </w:rPr>
        <w:t>合同履约保证金不计利息，不抵作租金。租赁期届满，如乙方无违约行为并依约定将厂房完好交还给甲方后一个月内，甲方将合同履约保证金全额无息退回给乙方；如乙方中途自行退租或违反本合同有关条款，视作违约处理, 甲方有权单方解除合同，保证金归甲方所有，且收回乙方租赁上述厂房的使用权；如甲方单方解除合同的或者甲方原因导致乙方无法正常使用，应向乙方双倍退还合同履约保证金。</w:t>
      </w:r>
    </w:p>
    <w:p w14:paraId="0FC1BE44">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2.该厂房租金</w:t>
      </w:r>
      <w:r>
        <w:rPr>
          <w:rFonts w:hint="eastAsia" w:ascii="宋体" w:hAnsi="宋体" w:cs="宋体"/>
          <w:color w:val="auto"/>
          <w:kern w:val="0"/>
          <w:sz w:val="24"/>
          <w:lang w:eastAsia="zh-CN"/>
        </w:rPr>
        <w:t>及管理费</w:t>
      </w:r>
      <w:r>
        <w:rPr>
          <w:rFonts w:hint="eastAsia" w:ascii="宋体" w:hAnsi="宋体" w:cs="宋体"/>
          <w:color w:val="auto"/>
          <w:kern w:val="0"/>
          <w:sz w:val="24"/>
          <w:u w:val="single"/>
        </w:rPr>
        <w:t xml:space="preserve">      </w:t>
      </w:r>
      <w:r>
        <w:rPr>
          <w:rFonts w:hint="eastAsia" w:ascii="宋体" w:hAnsi="宋体" w:cs="宋体"/>
          <w:color w:val="auto"/>
          <w:kern w:val="0"/>
          <w:sz w:val="24"/>
        </w:rPr>
        <w:t>元/</w:t>
      </w:r>
      <w:r>
        <w:rPr>
          <w:rFonts w:hint="eastAsia" w:ascii="宋体" w:hAnsi="宋体" w:cs="宋体"/>
          <w:color w:val="auto"/>
          <w:kern w:val="0"/>
          <w:sz w:val="24"/>
          <w:lang w:eastAsia="zh-CN"/>
        </w:rPr>
        <w:t>宗</w:t>
      </w:r>
      <w:r>
        <w:rPr>
          <w:rFonts w:hint="eastAsia" w:ascii="宋体" w:hAnsi="宋体" w:cs="宋体"/>
          <w:color w:val="auto"/>
          <w:kern w:val="0"/>
          <w:sz w:val="24"/>
        </w:rPr>
        <w:t>/月</w:t>
      </w:r>
      <w:r>
        <w:rPr>
          <w:rFonts w:hint="eastAsia" w:ascii="宋体" w:hAnsi="宋体" w:eastAsia="宋体" w:cs="宋体"/>
          <w:color w:val="auto"/>
          <w:kern w:val="0"/>
          <w:sz w:val="24"/>
        </w:rPr>
        <w:t>（</w:t>
      </w:r>
      <w:r>
        <w:rPr>
          <w:rFonts w:hint="eastAsia"/>
          <w:color w:val="auto"/>
          <w:sz w:val="24"/>
          <w:szCs w:val="32"/>
          <w:vertAlign w:val="baseline"/>
          <w:lang w:val="en-US" w:eastAsia="zh-CN"/>
        </w:rPr>
        <w:t>含税，</w:t>
      </w:r>
      <w:r>
        <w:rPr>
          <w:rFonts w:hint="eastAsia" w:ascii="宋体" w:hAnsi="宋体" w:eastAsia="宋体" w:cs="宋体"/>
          <w:color w:val="auto"/>
          <w:kern w:val="0"/>
          <w:sz w:val="24"/>
          <w:lang w:val="en-US" w:eastAsia="zh-CN"/>
        </w:rPr>
        <w:t>其中租金占60%，管理费占40%）</w:t>
      </w:r>
      <w:r>
        <w:rPr>
          <w:rFonts w:hint="eastAsia" w:ascii="宋体" w:hAnsi="宋体" w:eastAsia="宋体" w:cs="宋体"/>
          <w:color w:val="auto"/>
          <w:kern w:val="0"/>
          <w:sz w:val="24"/>
        </w:rPr>
        <w:t>，租期内租金及管</w:t>
      </w:r>
      <w:r>
        <w:rPr>
          <w:rFonts w:hint="eastAsia" w:ascii="宋体" w:hAnsi="宋体" w:cs="宋体"/>
          <w:color w:val="auto"/>
          <w:kern w:val="0"/>
          <w:sz w:val="24"/>
        </w:rPr>
        <w:t>理费每5年递增</w:t>
      </w:r>
      <w:r>
        <w:rPr>
          <w:rFonts w:hint="eastAsia" w:ascii="宋体" w:hAnsi="宋体" w:cs="宋体"/>
          <w:color w:val="auto"/>
          <w:kern w:val="0"/>
          <w:sz w:val="24"/>
          <w:lang w:val="en-US" w:eastAsia="zh-CN"/>
        </w:rPr>
        <w:t>8</w:t>
      </w:r>
      <w:r>
        <w:rPr>
          <w:rFonts w:hint="eastAsia" w:ascii="宋体" w:hAnsi="宋体" w:cs="宋体"/>
          <w:color w:val="auto"/>
          <w:kern w:val="0"/>
          <w:sz w:val="24"/>
        </w:rPr>
        <w:t>%，此租金及管理费含税。因本厂房交易及租赁行为所产生的一切税费、交易费用均由乙方另行承担。</w:t>
      </w:r>
    </w:p>
    <w:tbl>
      <w:tblPr>
        <w:tblStyle w:val="9"/>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93"/>
        <w:gridCol w:w="4742"/>
        <w:gridCol w:w="2239"/>
      </w:tblGrid>
      <w:tr w14:paraId="40C5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49045C56">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sz w:val="24"/>
              </w:rPr>
              <w:t>序号</w:t>
            </w:r>
          </w:p>
        </w:tc>
        <w:tc>
          <w:tcPr>
            <w:tcW w:w="993" w:type="dxa"/>
            <w:vAlign w:val="center"/>
          </w:tcPr>
          <w:p w14:paraId="2E50A815">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sz w:val="24"/>
              </w:rPr>
              <w:t>期 数</w:t>
            </w:r>
          </w:p>
        </w:tc>
        <w:tc>
          <w:tcPr>
            <w:tcW w:w="4742" w:type="dxa"/>
            <w:vAlign w:val="center"/>
          </w:tcPr>
          <w:p w14:paraId="5FD22BC9">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sz w:val="24"/>
              </w:rPr>
              <w:t>日          期</w:t>
            </w:r>
          </w:p>
        </w:tc>
        <w:tc>
          <w:tcPr>
            <w:tcW w:w="2239" w:type="dxa"/>
            <w:vAlign w:val="center"/>
          </w:tcPr>
          <w:p w14:paraId="2000E772">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sz w:val="24"/>
              </w:rPr>
              <w:t>租金</w:t>
            </w:r>
          </w:p>
        </w:tc>
      </w:tr>
      <w:tr w14:paraId="3371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14:paraId="636782FC">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sz w:val="24"/>
              </w:rPr>
              <w:t>1</w:t>
            </w:r>
          </w:p>
        </w:tc>
        <w:tc>
          <w:tcPr>
            <w:tcW w:w="993" w:type="dxa"/>
            <w:vMerge w:val="restart"/>
            <w:vAlign w:val="center"/>
          </w:tcPr>
          <w:p w14:paraId="4B3D2877">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sz w:val="24"/>
              </w:rPr>
              <w:t>第一期</w:t>
            </w:r>
          </w:p>
        </w:tc>
        <w:tc>
          <w:tcPr>
            <w:tcW w:w="4742" w:type="dxa"/>
            <w:vAlign w:val="center"/>
          </w:tcPr>
          <w:p w14:paraId="27EDAAC4">
            <w:pPr>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kern w:val="0"/>
                <w:sz w:val="24"/>
              </w:rPr>
              <w:t>20   年   月   日至20   年   月   日</w:t>
            </w:r>
          </w:p>
        </w:tc>
        <w:tc>
          <w:tcPr>
            <w:tcW w:w="2239" w:type="dxa"/>
            <w:vAlign w:val="center"/>
          </w:tcPr>
          <w:p w14:paraId="4C505380">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kern w:val="0"/>
                <w:sz w:val="24"/>
              </w:rPr>
              <w:t>1个月免租装修期</w:t>
            </w:r>
          </w:p>
        </w:tc>
      </w:tr>
      <w:tr w14:paraId="4C4A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14:paraId="1CEEE48B">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p>
        </w:tc>
        <w:tc>
          <w:tcPr>
            <w:tcW w:w="993" w:type="dxa"/>
            <w:vMerge w:val="continue"/>
            <w:vAlign w:val="center"/>
          </w:tcPr>
          <w:p w14:paraId="38ACF28F">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p>
        </w:tc>
        <w:tc>
          <w:tcPr>
            <w:tcW w:w="4742" w:type="dxa"/>
            <w:vAlign w:val="center"/>
          </w:tcPr>
          <w:p w14:paraId="79DA6717">
            <w:pPr>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kern w:val="0"/>
                <w:sz w:val="24"/>
              </w:rPr>
              <w:t>20   年   月   日至20   年   月   日</w:t>
            </w:r>
          </w:p>
        </w:tc>
        <w:tc>
          <w:tcPr>
            <w:tcW w:w="2239" w:type="dxa"/>
            <w:vAlign w:val="center"/>
          </w:tcPr>
          <w:p w14:paraId="7C976AFD">
            <w:pPr>
              <w:pStyle w:val="15"/>
              <w:keepNext w:val="0"/>
              <w:keepLines w:val="0"/>
              <w:pageBreakBefore w:val="0"/>
              <w:kinsoku/>
              <w:wordWrap/>
              <w:overflowPunct/>
              <w:topLinePunct w:val="0"/>
              <w:autoSpaceDE/>
              <w:autoSpaceDN/>
              <w:bidi w:val="0"/>
              <w:snapToGrid/>
              <w:spacing w:line="480" w:lineRule="exact"/>
              <w:jc w:val="right"/>
              <w:textAlignment w:val="auto"/>
              <w:rPr>
                <w:rFonts w:ascii="宋体" w:hAnsi="宋体" w:cs="宋体"/>
                <w:color w:val="auto"/>
                <w:sz w:val="24"/>
              </w:rPr>
            </w:pPr>
            <w:r>
              <w:rPr>
                <w:rFonts w:hint="eastAsia" w:ascii="宋体" w:hAnsi="宋体" w:cs="宋体"/>
                <w:color w:val="auto"/>
                <w:kern w:val="0"/>
                <w:sz w:val="24"/>
              </w:rPr>
              <w:t>元/</w:t>
            </w:r>
            <w:r>
              <w:rPr>
                <w:rFonts w:hint="eastAsia" w:ascii="宋体" w:hAnsi="宋体" w:cs="宋体"/>
                <w:color w:val="auto"/>
                <w:kern w:val="0"/>
                <w:sz w:val="24"/>
                <w:lang w:eastAsia="zh-CN"/>
              </w:rPr>
              <w:t>宗</w:t>
            </w:r>
            <w:r>
              <w:rPr>
                <w:rFonts w:hint="eastAsia" w:ascii="宋体" w:hAnsi="宋体" w:cs="宋体"/>
                <w:color w:val="auto"/>
                <w:kern w:val="0"/>
                <w:sz w:val="24"/>
                <w:lang w:val="en-US" w:eastAsia="zh-CN"/>
              </w:rPr>
              <w:t>/</w:t>
            </w:r>
            <w:r>
              <w:rPr>
                <w:rFonts w:hint="eastAsia" w:ascii="宋体" w:hAnsi="宋体" w:cs="宋体"/>
                <w:color w:val="auto"/>
                <w:kern w:val="0"/>
                <w:sz w:val="24"/>
              </w:rPr>
              <w:t>月</w:t>
            </w:r>
          </w:p>
        </w:tc>
      </w:tr>
      <w:tr w14:paraId="0F77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D0C7417">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sz w:val="24"/>
              </w:rPr>
              <w:t>2</w:t>
            </w:r>
          </w:p>
        </w:tc>
        <w:tc>
          <w:tcPr>
            <w:tcW w:w="993" w:type="dxa"/>
            <w:vAlign w:val="center"/>
          </w:tcPr>
          <w:p w14:paraId="6807B1FD">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sz w:val="24"/>
              </w:rPr>
              <w:t>第二期</w:t>
            </w:r>
          </w:p>
        </w:tc>
        <w:tc>
          <w:tcPr>
            <w:tcW w:w="4742" w:type="dxa"/>
            <w:vAlign w:val="center"/>
          </w:tcPr>
          <w:p w14:paraId="10BBF7D6">
            <w:pPr>
              <w:pStyle w:val="15"/>
              <w:keepNext w:val="0"/>
              <w:keepLines w:val="0"/>
              <w:pageBreakBefore w:val="0"/>
              <w:kinsoku/>
              <w:wordWrap/>
              <w:overflowPunct/>
              <w:topLinePunct w:val="0"/>
              <w:autoSpaceDE/>
              <w:autoSpaceDN/>
              <w:bidi w:val="0"/>
              <w:snapToGrid/>
              <w:spacing w:line="480" w:lineRule="exact"/>
              <w:jc w:val="center"/>
              <w:textAlignment w:val="auto"/>
              <w:rPr>
                <w:rFonts w:ascii="宋体" w:hAnsi="宋体" w:cs="宋体"/>
                <w:color w:val="auto"/>
                <w:sz w:val="24"/>
              </w:rPr>
            </w:pPr>
            <w:r>
              <w:rPr>
                <w:rFonts w:hint="eastAsia" w:ascii="宋体" w:hAnsi="宋体" w:cs="宋体"/>
                <w:color w:val="auto"/>
                <w:kern w:val="0"/>
                <w:sz w:val="24"/>
              </w:rPr>
              <w:t>20   年   月   日至20   年   月   日</w:t>
            </w:r>
          </w:p>
        </w:tc>
        <w:tc>
          <w:tcPr>
            <w:tcW w:w="2239" w:type="dxa"/>
            <w:vAlign w:val="center"/>
          </w:tcPr>
          <w:p w14:paraId="43DA503C">
            <w:pPr>
              <w:pStyle w:val="15"/>
              <w:keepNext w:val="0"/>
              <w:keepLines w:val="0"/>
              <w:pageBreakBefore w:val="0"/>
              <w:kinsoku/>
              <w:wordWrap/>
              <w:overflowPunct/>
              <w:topLinePunct w:val="0"/>
              <w:autoSpaceDE/>
              <w:autoSpaceDN/>
              <w:bidi w:val="0"/>
              <w:snapToGrid/>
              <w:spacing w:line="480" w:lineRule="exact"/>
              <w:jc w:val="right"/>
              <w:textAlignment w:val="auto"/>
              <w:rPr>
                <w:rFonts w:ascii="宋体" w:hAnsi="宋体" w:cs="宋体"/>
                <w:color w:val="auto"/>
                <w:sz w:val="24"/>
              </w:rPr>
            </w:pPr>
            <w:r>
              <w:rPr>
                <w:rFonts w:hint="eastAsia" w:ascii="宋体" w:hAnsi="宋体" w:cs="宋体"/>
                <w:color w:val="auto"/>
                <w:kern w:val="0"/>
                <w:sz w:val="24"/>
              </w:rPr>
              <w:t>元/</w:t>
            </w:r>
            <w:r>
              <w:rPr>
                <w:rFonts w:hint="eastAsia" w:ascii="宋体" w:hAnsi="宋体" w:cs="宋体"/>
                <w:color w:val="auto"/>
                <w:kern w:val="0"/>
                <w:sz w:val="24"/>
                <w:lang w:eastAsia="zh-CN"/>
              </w:rPr>
              <w:t>宗</w:t>
            </w:r>
            <w:r>
              <w:rPr>
                <w:rFonts w:hint="eastAsia" w:ascii="宋体" w:hAnsi="宋体" w:cs="宋体"/>
                <w:color w:val="auto"/>
                <w:kern w:val="0"/>
                <w:sz w:val="24"/>
                <w:lang w:val="en-US" w:eastAsia="zh-CN"/>
              </w:rPr>
              <w:t>/</w:t>
            </w:r>
            <w:r>
              <w:rPr>
                <w:rFonts w:hint="eastAsia" w:ascii="宋体" w:hAnsi="宋体" w:cs="宋体"/>
                <w:color w:val="auto"/>
                <w:kern w:val="0"/>
                <w:sz w:val="24"/>
              </w:rPr>
              <w:t>月</w:t>
            </w:r>
          </w:p>
        </w:tc>
      </w:tr>
    </w:tbl>
    <w:p w14:paraId="6D03D45E">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sz w:val="24"/>
        </w:rPr>
        <w:t>3.乙方应在签</w:t>
      </w:r>
      <w:r>
        <w:rPr>
          <w:rFonts w:hint="eastAsia" w:ascii="宋体" w:hAnsi="宋体" w:cs="宋体"/>
          <w:color w:val="auto"/>
          <w:kern w:val="0"/>
          <w:sz w:val="24"/>
        </w:rPr>
        <w:t>订合同当天向甲方付清首月租金及管理费，自承租次月起，乙方应每月5日前将当月租金及管理费转入甲方账号：开户行：广州农商银行金龙路支行，户名：广州市番禺区大龙街大龙村股份合作经济社，账号：926902001000012053。</w:t>
      </w:r>
    </w:p>
    <w:p w14:paraId="2129A32E">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4.</w:t>
      </w:r>
      <w:r>
        <w:rPr>
          <w:rFonts w:hint="eastAsia" w:ascii="宋体" w:hAnsi="宋体" w:cs="宋体"/>
          <w:color w:val="auto"/>
          <w:sz w:val="24"/>
          <w:shd w:val="clear" w:color="auto" w:fill="FFFFFF"/>
        </w:rPr>
        <w:t>乙</w:t>
      </w:r>
      <w:r>
        <w:rPr>
          <w:rFonts w:hint="eastAsia" w:ascii="宋体" w:hAnsi="宋体" w:cs="宋体"/>
          <w:color w:val="auto"/>
          <w:kern w:val="0"/>
          <w:sz w:val="24"/>
        </w:rPr>
        <w:t>方逾期向甲方支付租金及管理费及其他应缴费用的，乙方每逾期一日应按拖欠租金及管理费总额的千分之一向甲方支付违约金。若乙方逾期60日没有缴齐租金</w:t>
      </w:r>
      <w:r>
        <w:rPr>
          <w:rFonts w:ascii="宋体" w:hAnsi="宋体" w:cs="宋体"/>
          <w:color w:val="auto"/>
          <w:kern w:val="0"/>
          <w:sz w:val="24"/>
        </w:rPr>
        <w:t>及管理费</w:t>
      </w:r>
      <w:r>
        <w:rPr>
          <w:rFonts w:hint="eastAsia" w:ascii="宋体" w:hAnsi="宋体" w:cs="宋体"/>
          <w:color w:val="auto"/>
          <w:kern w:val="0"/>
          <w:sz w:val="24"/>
        </w:rPr>
        <w:t>或其他费用的的，甲方有权解除本合同，没收合同保证金并重新招租。同时，</w:t>
      </w:r>
      <w:bookmarkStart w:id="3" w:name="_Hlk72832909"/>
      <w:r>
        <w:rPr>
          <w:rFonts w:hint="eastAsia" w:ascii="宋体" w:hAnsi="宋体" w:cs="宋体"/>
          <w:color w:val="auto"/>
          <w:kern w:val="0"/>
          <w:sz w:val="24"/>
        </w:rPr>
        <w:t>乙方在甲方限期内未退还场地的，</w:t>
      </w:r>
      <w:bookmarkEnd w:id="3"/>
      <w:r>
        <w:rPr>
          <w:rFonts w:hint="eastAsia" w:ascii="宋体" w:hAnsi="宋体" w:cs="宋体"/>
          <w:color w:val="auto"/>
          <w:kern w:val="0"/>
          <w:sz w:val="24"/>
        </w:rPr>
        <w:t>甲方有权开启厂房大门，并收回该厂房使用权，乙方同意厂房内所有物品均为乙方的遗弃物，甲方可以自行处理。</w:t>
      </w:r>
    </w:p>
    <w:p w14:paraId="237E0DA6">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5.乙方在租赁期间所产生的一切包括但不限于垃圾、水电及设施综合管理费等费用由乙方自行承担。</w:t>
      </w:r>
    </w:p>
    <w:p w14:paraId="02D00690">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四、厂房使用要求</w:t>
      </w:r>
    </w:p>
    <w:p w14:paraId="3506D009">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一）乙方在租赁期间享有厂房及所属设施（含电梯、门闸等）的使用权。乙方应负责厂房内专用设施的保管、维护、保养、年审，所产生的费用由乙方承担并保证在本合同终止时专用设施以可靠运行状态随同厂房归还甲方。甲方对此有检查监督权。</w:t>
      </w:r>
    </w:p>
    <w:p w14:paraId="676D68C1">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（二）乙方对厂房及所属设施负有妥善使用及维护的责任，对各种可能出现的故障和危险应及时消除，以避免一切可能发生的隐患。</w:t>
      </w:r>
    </w:p>
    <w:p w14:paraId="4CF07135">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（三）乙方在租赁期限内应爱护厂房及所属设施，因承租方使用、保管不当造成厂房及所属设施损坏，乙方应负责维修，费用由乙方承担。</w:t>
      </w:r>
    </w:p>
    <w:p w14:paraId="02831FE9">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四）租赁期间乙方如需对厂房及所属设施进行装修或增加设施必须先征得甲方书面同意后方可实施，且装修或增加设施不得对厂房结构造成不良影响。租赁期满、或合同解除或被司法机构认定为无效合同的，对乙方装修或增加设施，甲方有权选择以下任一种或多种方式行使权利：</w:t>
      </w:r>
    </w:p>
    <w:p w14:paraId="52D98F93">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1.依附于承租物的装修归甲方所有；</w:t>
      </w:r>
    </w:p>
    <w:p w14:paraId="7654D023">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2.要求乙方恢复原状；</w:t>
      </w:r>
    </w:p>
    <w:p w14:paraId="045FF65C">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3.向乙方收取恢复工程实际发生的费用。</w:t>
      </w:r>
    </w:p>
    <w:p w14:paraId="02A8237E">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五、厂房转租、转借</w:t>
      </w:r>
    </w:p>
    <w:p w14:paraId="06CDFFBB">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乙方在本合同签订后，合同开始后两年内不得分租或转租，两年后如乙方将该厂房转让或分租给第三方，乙方需向甲方提供第三承租方的资料，经甲方同意后，办理有关转让手续，并向甲方交付相等于届时一个月的租金及管理费作为变更手续费。</w:t>
      </w:r>
    </w:p>
    <w:p w14:paraId="6F9C4DD2">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未经甲方书面同意，乙方不得转租、转借承租厂房。</w:t>
      </w:r>
    </w:p>
    <w:p w14:paraId="7CFF09C0">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经甲方书面同意后，乙方可将厂房转租或分租，但转租或分租部分的管理工作由乙方负责，包括向转租或分租租户收取租金及管理费等。本合同规定的甲乙双方的责任和权利不因乙方转租而改变。</w:t>
      </w:r>
    </w:p>
    <w:p w14:paraId="17FCCEAC">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如发生转租或分租行为，乙方还必须遵守下列条款：</w:t>
      </w:r>
    </w:p>
    <w:p w14:paraId="4A1D318F">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1.转租或分租期限不得超过乙方对甲方的承租期限；</w:t>
      </w:r>
    </w:p>
    <w:p w14:paraId="0CEEBA4D">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2.转租或分租厂房的用途不得超出本合同规定的用途；</w:t>
      </w:r>
    </w:p>
    <w:p w14:paraId="67B7A4D1">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3.乙方应在转租或分租协议中约定，若乙方提前终止本合同，乙方与转租或分租租户的转租或分租协议应同时终止；</w:t>
      </w:r>
    </w:p>
    <w:p w14:paraId="36DCCC45">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4.乙方须要求转租或分租租户签署保证书，保证其同意履行乙方与甲方合同中有关转租或分租行为的规定，并承诺与乙方就本合同的履行对甲方承担连带责任。在乙方终止本合同时，转租或分租协议同时终止，转租或分租租户无条件迁离厂房。承租方应将转租或分租租户签署的保证书，在转租或分租协议签订后的当日内交甲方存档；</w:t>
      </w:r>
    </w:p>
    <w:p w14:paraId="2192E2F9">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5.无论乙方是否提前终止本合同，因转租或分租行为产生的一切纠纷概由乙方负责处理；</w:t>
      </w:r>
    </w:p>
    <w:p w14:paraId="4D585C9A">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6.乙方对因转租或分租而产生的税、费，由乙方负责。</w:t>
      </w:r>
    </w:p>
    <w:p w14:paraId="4DE05ECA">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六、税费缴交</w:t>
      </w:r>
    </w:p>
    <w:p w14:paraId="5E2B87FC">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乙方在租赁期内，应按国家法律、法规、政策以及当地各级政府及有关部门的规定依法经营和依法缴纳税费，乙方对外经营所产生的债权债务均由乙方负责承担。乙方自行承担法律责任、经营风险和损益。</w:t>
      </w:r>
    </w:p>
    <w:p w14:paraId="7804332D">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七、厂房保险购买</w:t>
      </w:r>
    </w:p>
    <w:p w14:paraId="73EA693A">
      <w:pPr>
        <w:pStyle w:val="16"/>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租赁期间，乙方应为厂房及所属设施购买财产综合险，保额不少于1000万元(大写：壹仟万元正），并负责购买厂房内乙方自己财产的必要的保险（包括责任险）。若乙方未购买上述保险，由此而产生的所有法律责任及后果由乙方承担。</w:t>
      </w:r>
    </w:p>
    <w:p w14:paraId="26BFC710">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八、厂房基础设施建设</w:t>
      </w:r>
    </w:p>
    <w:p w14:paraId="31E40E26">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ascii="宋体" w:hAnsi="宋体" w:cs="宋体"/>
          <w:color w:val="auto"/>
          <w:kern w:val="0"/>
          <w:sz w:val="24"/>
        </w:rPr>
        <w:t>甲方按现有标准提供</w:t>
      </w:r>
      <w:r>
        <w:rPr>
          <w:rFonts w:hint="eastAsia" w:ascii="宋体" w:hAnsi="宋体" w:cs="宋体"/>
          <w:color w:val="auto"/>
          <w:kern w:val="0"/>
          <w:sz w:val="24"/>
        </w:rPr>
        <w:t>厂房</w:t>
      </w:r>
      <w:r>
        <w:rPr>
          <w:rFonts w:ascii="宋体" w:hAnsi="宋体" w:cs="宋体"/>
          <w:color w:val="auto"/>
          <w:kern w:val="0"/>
          <w:sz w:val="24"/>
        </w:rPr>
        <w:t>用水用电，</w:t>
      </w:r>
      <w:r>
        <w:rPr>
          <w:rFonts w:hint="eastAsia" w:ascii="宋体" w:hAnsi="宋体" w:cs="宋体"/>
          <w:color w:val="auto"/>
          <w:kern w:val="0"/>
          <w:sz w:val="24"/>
        </w:rPr>
        <w:t>乙方租用厂房后自筹资金增加生产设备、供水、配电、消防、环保等设施安装配置，须按有关法律法规及政策规定和本合同的约定，按相关程序和要求办理，并承担有关责任和风险。</w:t>
      </w:r>
    </w:p>
    <w:p w14:paraId="2BA42850">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九、厂房设施设备加建</w:t>
      </w:r>
    </w:p>
    <w:p w14:paraId="01EC6F95">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乙方租用厂房后甲方所提供的基础设备、设施如不能满足发展要求时，所需的水电扩容、道路、下水道、环境改造、环保设施等项目的建设均由乙方自行出资解决。乙方进行上述建设须经甲方书面同意后方可实施，并按有关法律法规及政策规定的程序和要求办理。</w:t>
      </w:r>
    </w:p>
    <w:p w14:paraId="36BD2B16">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十、厂房土地征收、征用</w:t>
      </w:r>
    </w:p>
    <w:p w14:paraId="4E8CE07A">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本合同存续期间，如国家需征收、征用乙方租用厂房的土地，本合同终止，乙方必须无条件服从搬迁。征地补偿款、建筑物及设施补偿费属甲方所有，其他补偿费按有关政策规定执行。乙方经甲方同意增加的设施的补偿款，在合同履行期限剩余超过一半的，甲乙双方各分一半；剩余期限不足一半的，甲方分七成，乙方分三成；期满后，归甲方所有。</w:t>
      </w:r>
    </w:p>
    <w:p w14:paraId="69670DF4">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十一、甲乙双方权利和义务</w:t>
      </w:r>
    </w:p>
    <w:p w14:paraId="022E39A2">
      <w:pPr>
        <w:keepNext w:val="0"/>
        <w:keepLines w:val="0"/>
        <w:pageBreakBefore w:val="0"/>
        <w:kinsoku/>
        <w:wordWrap/>
        <w:overflowPunct/>
        <w:topLinePunct w:val="0"/>
        <w:autoSpaceDE/>
        <w:autoSpaceDN/>
        <w:bidi w:val="0"/>
        <w:adjustRightInd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（一）甲方的权利和义务</w:t>
      </w:r>
    </w:p>
    <w:p w14:paraId="57B36935">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1.甲方承诺，本次出租物的出租相关行为已履行了内部民主决策程序，遵守产权交易等有关规定，甲方有权对该出租物进行出租。</w:t>
      </w:r>
    </w:p>
    <w:p w14:paraId="2B633479">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2.甲方有权向乙方收取租金及管理费及其它应由乙方承担的费用（如水费、电费垃圾费等），电费缴交按供电部门标准；</w:t>
      </w:r>
    </w:p>
    <w:p w14:paraId="3075E633">
      <w:pPr>
        <w:keepNext w:val="0"/>
        <w:keepLines w:val="0"/>
        <w:pageBreakBefore w:val="0"/>
        <w:kinsoku/>
        <w:wordWrap/>
        <w:overflowPunct/>
        <w:topLinePunct w:val="0"/>
        <w:autoSpaceDE/>
        <w:autoSpaceDN/>
        <w:bidi w:val="0"/>
        <w:adjustRightInd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3.甲方有权督促乙方遵守法律法规、甲方的各项规章制度；</w:t>
      </w:r>
    </w:p>
    <w:p w14:paraId="1EFCC740">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4.甲方不得干涉和妨碍乙方依法进行生产经营活动。</w:t>
      </w:r>
    </w:p>
    <w:p w14:paraId="57674215">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5.因乙方原因导致甲方解除合同的，甲方有权要求乙方补交免租期内的租金及管理费。</w:t>
      </w:r>
    </w:p>
    <w:p w14:paraId="16F2337E">
      <w:pPr>
        <w:keepNext w:val="0"/>
        <w:keepLines w:val="0"/>
        <w:pageBreakBefore w:val="0"/>
        <w:kinsoku/>
        <w:wordWrap/>
        <w:overflowPunct/>
        <w:topLinePunct w:val="0"/>
        <w:autoSpaceDE/>
        <w:autoSpaceDN/>
        <w:bidi w:val="0"/>
        <w:adjustRightInd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（二）乙方的权利和义务</w:t>
      </w:r>
    </w:p>
    <w:p w14:paraId="60E3C615">
      <w:pPr>
        <w:keepNext w:val="0"/>
        <w:keepLines w:val="0"/>
        <w:pageBreakBefore w:val="0"/>
        <w:kinsoku/>
        <w:wordWrap/>
        <w:overflowPunct/>
        <w:topLinePunct w:val="0"/>
        <w:autoSpaceDE/>
        <w:autoSpaceDN/>
        <w:bidi w:val="0"/>
        <w:adjustRightInd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1.乙方在移交前保证详细知悉和了解厂房现状，如发现有问题的，必须立即与甲方沟通协调；</w:t>
      </w:r>
    </w:p>
    <w:p w14:paraId="05F0C996">
      <w:pPr>
        <w:keepNext w:val="0"/>
        <w:keepLines w:val="0"/>
        <w:pageBreakBefore w:val="0"/>
        <w:kinsoku/>
        <w:wordWrap/>
        <w:overflowPunct/>
        <w:topLinePunct w:val="0"/>
        <w:autoSpaceDE/>
        <w:autoSpaceDN/>
        <w:bidi w:val="0"/>
        <w:adjustRightInd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2.乙方应合法经营，在其承租期内进行各项行为，均应遵守国家、省、市和区的有关规定，不得损害社会公共利益，并自觉接受政府有关部门的监管，其合法权益受法律保护。否则，甲方有权单方解除本合同并由乙方承担合同解除的不利后果；</w:t>
      </w:r>
    </w:p>
    <w:p w14:paraId="79585EB2">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3.乙方必须保护好甲方原有的设施，如有损坏，由乙方负责更换和维修；</w:t>
      </w:r>
    </w:p>
    <w:p w14:paraId="55F2C497">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4.乙方在租赁期内有责任保护环境、保护农业用地和农业生产、保护交通道路及公共设施，如因乙方造成污染或损坏的，由乙方负责赔偿。乙方不得占用公共道路堆放物品、器材，不得堵塞下水道；</w:t>
      </w:r>
    </w:p>
    <w:p w14:paraId="270EB70C">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5.租赁合同期满或合同解除和被司法机构认定为无效合同后，属于乙方的机械设备由乙方自行拆除，并在租赁期限内自行清理好场地杂物，逾期未拆除清理的视乙方自行放弃，甲方有权对其进行处置，并且处置所需费用在乙方的合同履约保证金中扣除。</w:t>
      </w:r>
    </w:p>
    <w:p w14:paraId="566D246E">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十二、合同变更和解除</w:t>
      </w:r>
    </w:p>
    <w:p w14:paraId="1DFA2CF2">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（一）本合同效力不受甲乙双方法人代表变动影响，也不因甲方的分立或合并而变更或解除。任何一方不得随意终止合同（因不可抗力而不能履行合同的除外）。</w:t>
      </w:r>
    </w:p>
    <w:p w14:paraId="55DCE304">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（二）租赁期间，乙方有下列行为之一的，甲方有权单方面解除合同，合同履约保证金归甲方所有，并收回承租物：</w:t>
      </w:r>
    </w:p>
    <w:p w14:paraId="1D56375E">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1.未按时支付合同履约保证金；</w:t>
      </w:r>
    </w:p>
    <w:p w14:paraId="0783D809">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2.未经甲方书面同意，转让、转租、转借承租物；</w:t>
      </w:r>
    </w:p>
    <w:p w14:paraId="26D384DE">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3.未经甲方书面同意，拆改变动承租建筑物结构；</w:t>
      </w:r>
    </w:p>
    <w:p w14:paraId="53B08E46">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4.损坏承租物，在甲方提出的合理期限内仍未修复的；</w:t>
      </w:r>
    </w:p>
    <w:p w14:paraId="0CB6C8C7">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5.未经甲方书面同意，改变本合同约定的承租物租赁用途；</w:t>
      </w:r>
    </w:p>
    <w:p w14:paraId="19B0F9B9">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6.利用承租物存放危险物品或进行违法活动；</w:t>
      </w:r>
    </w:p>
    <w:p w14:paraId="202E17C5">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7.逾期未交纳按约定应当由乙方交纳的各项费用，已经给甲方造成严重损失的；</w:t>
      </w:r>
    </w:p>
    <w:p w14:paraId="1FDA7B7C">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8.拖欠租金及管理费累计2个月以上（含本数）。</w:t>
      </w:r>
    </w:p>
    <w:p w14:paraId="3830CB2C">
      <w:pPr>
        <w:keepNext w:val="0"/>
        <w:keepLines w:val="0"/>
        <w:pageBreakBefore w:val="0"/>
        <w:kinsoku/>
        <w:wordWrap/>
        <w:overflowPunct/>
        <w:topLinePunct w:val="0"/>
        <w:autoSpaceDE/>
        <w:autoSpaceDN/>
        <w:bidi w:val="0"/>
        <w:snapToGrid/>
        <w:spacing w:line="480"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三）在租赁期内，如因法律规定的不可抗力致使本合同难以履行时，本合同可以变更或解除，甲乙双方互不承担违约责任。遭受不可抗力事件的一方应自行在条件允许下采取一切合理措施以减少这一事件造成的损失。因不可抗力原因而终止合同的，租金及管理费按照实际使用的天数计算，多退少补。</w:t>
      </w:r>
    </w:p>
    <w:p w14:paraId="474736B1">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十三、装饰、装修</w:t>
      </w:r>
    </w:p>
    <w:p w14:paraId="6126D519">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 xml:space="preserve">1.乙方应当经甲方书面同意方可进行装饰装修。无论是合同被认定为无效，还是租赁期届满或者合同解除时，该装修物无偿归甲方所有，未经甲方书面同意，乙方均不得拆除已附合的装饰装修物。 </w:t>
      </w:r>
    </w:p>
    <w:p w14:paraId="5A8CBC50">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2.乙方未经甲方书面同意或超出甲方书面同意之范围进行装饰装修的，甲方有要求乙方拆除装饰装修物，恢复原状，解除合同并没收合同保证金的权利。</w:t>
      </w:r>
    </w:p>
    <w:p w14:paraId="2625DCDE">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3.乙方因装饰装修、扩建，在拆除中造成厂房毁损的，乙方应当恢复原状或者按第三方评估进行赔偿。乙方同意，在任何情况下，甲方均不补偿乙方装饰装修的费用。</w:t>
      </w:r>
    </w:p>
    <w:p w14:paraId="5A66CE61">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4、乙方负责租赁厂房的设施及天面日常维护维修等，并承担由此产生的一切责任。</w:t>
      </w:r>
    </w:p>
    <w:p w14:paraId="5DD1AB8D">
      <w:pPr>
        <w:pStyle w:val="15"/>
        <w:keepNext w:val="0"/>
        <w:keepLines w:val="0"/>
        <w:pageBreakBefore w:val="0"/>
        <w:widowControl/>
        <w:shd w:val="clear" w:color="auto" w:fill="FFFFFF"/>
        <w:kinsoku/>
        <w:wordWrap/>
        <w:overflowPunct/>
        <w:topLinePunct w:val="0"/>
        <w:autoSpaceDE/>
        <w:autoSpaceDN/>
        <w:bidi w:val="0"/>
        <w:snapToGrid/>
        <w:spacing w:line="48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十四、其它约定</w:t>
      </w:r>
    </w:p>
    <w:p w14:paraId="45AB2CC1">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1.甲乙双方在签署本合同时，应具有签署本合同的合法资格或授权，具有完全民事行为能力，清楚知道本合同条款约定的法律效力，认为约定公平，没有误解，清楚各自的权利和义务。乙方清楚知道该厂房的现状，并签订《出租厂房现状知晓书》，双方均愿意按合同约定严格执行。</w:t>
      </w:r>
    </w:p>
    <w:p w14:paraId="5578232B">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kern w:val="0"/>
          <w:sz w:val="24"/>
        </w:rPr>
        <w:t>2.租赁期内，乙方经营过程中产生的任何风险及责任均由乙方自行承担。特</w:t>
      </w:r>
      <w:r>
        <w:rPr>
          <w:rFonts w:hint="eastAsia" w:ascii="宋体" w:hAnsi="宋体" w:cs="宋体"/>
          <w:color w:val="auto"/>
          <w:sz w:val="24"/>
        </w:rPr>
        <w:t>别是如发生乙方与聘用员工之间的劳动争议（包括但不限于工作纠纷、欠薪纠纷），乙方应及时依法处理。如乙方拖欠工人工资超过60天，或乙方出现拖欠工资等情形导致甲方被行政、司法部门责令、判令垫付所欠工资的，视为乙方根本性违约，甲方有权单方解除合同，没收乙方的合同保证金并收回场地，且有权就全部垫付款项和损失向乙方追偿。视作乙方违约，甲方有权终止合同并追究乙方有关法律责任。</w:t>
      </w:r>
    </w:p>
    <w:p w14:paraId="36A8085F">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3.租赁期间，乙方应当遵守相关法律法</w:t>
      </w:r>
      <w:r>
        <w:rPr>
          <w:rFonts w:hint="eastAsia" w:ascii="宋体" w:hAnsi="宋体" w:cs="宋体"/>
          <w:color w:val="auto"/>
          <w:kern w:val="0"/>
          <w:sz w:val="24"/>
        </w:rPr>
        <w:t>规，必须要</w:t>
      </w:r>
      <w:r>
        <w:rPr>
          <w:rFonts w:hint="eastAsia" w:ascii="宋体" w:hAnsi="宋体" w:cs="宋体"/>
          <w:color w:val="auto"/>
          <w:sz w:val="24"/>
        </w:rPr>
        <w:t>合法经营，办理相关证照及负责支付年检费等费用。服从国家相关部门管理，不得利用该厂房进行违法犯罪活动，生产经营必须符合环保及有关部门的要求，违者一切责任由乙方负责。</w:t>
      </w:r>
    </w:p>
    <w:p w14:paraId="234052C4">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4.乙方未遵守、履行本合同中所有约定的内容或者相关法律法规之规定的义务，视同乙方违约，甲方有权解除本合同，收回厂房或不向乙方交付厂房，且乙方应赔偿甲方因此而造成的一切损失，甲方有权没收乙方已支付的租金及管理费和合同保证金。</w:t>
      </w:r>
    </w:p>
    <w:p w14:paraId="1D5D3829">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5.租赁期满，乙方在同等条件下有优先继续承租的权利，但需符合届时的政策及招租程序要求。合同履行期内，若乙方违约的，丧失优先承租权。</w:t>
      </w:r>
    </w:p>
    <w:p w14:paraId="070C9145">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6.除本合同另有约定外，任何一方对于他方之通知，均应以信函或有回执之快递信函书面方式通知。通知的地址为本合同所载明地址或他方事后以书面通知的其它地址。邮寄通知以对方收到之日为送达日，但如对方变更地址而未通知或拒绝接受或因其它事由未能接受者，以邮寄之后第三日为通知送达日。</w:t>
      </w:r>
    </w:p>
    <w:p w14:paraId="2E3967D7">
      <w:pPr>
        <w:pStyle w:val="17"/>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7.乙方应在合同期满或合同解除被司法机构认定为无效合同之日起交还厂房。乙方逾期交还厂房的，甲方有权没收乙方合同履约保证金，并自乙方逾期交还之日起按照本合同最后一个月应缴款的三倍计收厂房占用费直至乙方交还；逾期交还超过7天的，视为乙方自动放弃该地块上的所有物品（含动产、厂房、种植物等）的所有权，甲方有权自行处置该物品且不予退还合同履约保证金，如其中包含、涉及他人物品或权益的，由乙方承担全部责任，甲方自行清理或聘请第三方清理引起的一切费用将由乙方承担。同时，甲方有权采取停水停电措施直至乙方迁出时止，由此造成乙方损失由乙方自行承担。</w:t>
      </w:r>
    </w:p>
    <w:p w14:paraId="6D0541AC">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8.本合同终止、解除、或被司法机构认定为无效合同时，租赁物的墙上附着物（包括但不限于一切供电、供水设施、电梯、水、电设施、开关制箱、灯具、通风排气等设施，但乙方自有的生产设备、冷气设施除外）无偿归甲方所有，未经甲方同意，乙方不得对上述物品等设施自行拆除，否则甲方有权没收合同履约保证金。乙方负责将因装修、修缮等原因造成租赁物损坏部分修复完好，清理好租赁物后归还给甲方。</w:t>
      </w:r>
    </w:p>
    <w:p w14:paraId="28DC37F5">
      <w:pPr>
        <w:pStyle w:val="15"/>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sz w:val="24"/>
        </w:rPr>
      </w:pPr>
      <w:r>
        <w:rPr>
          <w:rFonts w:hint="eastAsia" w:ascii="宋体" w:hAnsi="宋体" w:cs="宋体"/>
          <w:b/>
          <w:color w:val="auto"/>
          <w:sz w:val="24"/>
        </w:rPr>
        <w:t>十五、不可抗力条款</w:t>
      </w:r>
    </w:p>
    <w:p w14:paraId="60FE8DCB">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1.厂房被政府依法征用、征收或者要求改造时，本合同自行终止，双方互不承担违约责任，乙方不得向甲方要求返还已支付的租金及管理费，但甲</w:t>
      </w:r>
      <w:r>
        <w:rPr>
          <w:rFonts w:hint="eastAsia" w:ascii="宋体" w:hAnsi="宋体" w:cs="宋体"/>
          <w:color w:val="auto"/>
          <w:kern w:val="0"/>
          <w:sz w:val="24"/>
        </w:rPr>
        <w:t>方应在乙方无其它违约责任的情况下，将合同保证金无息返还给乙方。乙方同意政府征收的所有补偿</w:t>
      </w:r>
      <w:r>
        <w:rPr>
          <w:rFonts w:hint="eastAsia" w:ascii="宋体" w:hAnsi="宋体" w:cs="宋体"/>
          <w:color w:val="auto"/>
          <w:sz w:val="24"/>
        </w:rPr>
        <w:t>归甲方所有。</w:t>
      </w:r>
    </w:p>
    <w:p w14:paraId="439F83E9">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2.如遇不可抗力致使本合同不能履行或不能完全履行时，双方互不追究责任，并应妥善进行协商、变更或解除合同。</w:t>
      </w:r>
    </w:p>
    <w:p w14:paraId="5593A389">
      <w:pPr>
        <w:pStyle w:val="15"/>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kern w:val="0"/>
          <w:sz w:val="24"/>
        </w:rPr>
      </w:pPr>
      <w:r>
        <w:rPr>
          <w:rFonts w:hint="eastAsia" w:ascii="宋体" w:hAnsi="宋体" w:cs="宋体"/>
          <w:b/>
          <w:color w:val="auto"/>
          <w:kern w:val="0"/>
          <w:sz w:val="24"/>
        </w:rPr>
        <w:t>十六、争议解决方式</w:t>
      </w:r>
    </w:p>
    <w:p w14:paraId="3CD0A434">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本合同于广州市番禺区签订，双方在履行本合同过程中发生争议的，应协商解决，不愿协商或协商不成的，可以向广州市番禺区人民法院提起诉讼。</w:t>
      </w:r>
    </w:p>
    <w:p w14:paraId="5A8DCE83">
      <w:pPr>
        <w:pStyle w:val="15"/>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kern w:val="0"/>
          <w:sz w:val="24"/>
        </w:rPr>
      </w:pPr>
      <w:r>
        <w:rPr>
          <w:rFonts w:hint="eastAsia" w:ascii="宋体" w:hAnsi="宋体" w:cs="宋体"/>
          <w:b/>
          <w:color w:val="auto"/>
          <w:kern w:val="0"/>
          <w:sz w:val="24"/>
        </w:rPr>
        <w:t>十七、其它条款</w:t>
      </w:r>
    </w:p>
    <w:p w14:paraId="1D72785B">
      <w:pPr>
        <w:pStyle w:val="16"/>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1.特别约定</w:t>
      </w:r>
    </w:p>
    <w:p w14:paraId="5C435D64">
      <w:pPr>
        <w:pStyle w:val="16"/>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甲乙双方均确认：即使本合同因没有报建手续或房屋产权证等原因而无效或解除的，双方关于合同解除、终止等情况下争议解决条款仍然有效。且双方认为关于合同解除等争议解决条款的约定是双方真实意思表示，没有误解，甲乙双方清楚各自的权利和义务。乙方清楚知道该租赁物的现状，双方均愿意按合同约定严格执行，乙方承诺不因合同无效和解除而要求甲方作出任何赔偿或补偿（包括但不限于装修费及一切经营收入）。</w:t>
      </w:r>
    </w:p>
    <w:p w14:paraId="1FF7860D">
      <w:pPr>
        <w:pStyle w:val="16"/>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bCs/>
          <w:color w:val="auto"/>
          <w:kern w:val="0"/>
          <w:sz w:val="24"/>
        </w:rPr>
      </w:pPr>
      <w:r>
        <w:rPr>
          <w:rFonts w:hint="eastAsia" w:ascii="宋体" w:hAnsi="宋体" w:cs="宋体"/>
          <w:bCs/>
          <w:color w:val="auto"/>
          <w:kern w:val="0"/>
          <w:sz w:val="24"/>
        </w:rPr>
        <w:t>《房屋安全鉴定检测》及排水单元达标由乙方负责办理，《房屋安全鉴定检测》在合同生效后一个月内完成办理，排水单元达标在合同生效后三个月内完成办理，日后有关办证、年审、维护等费用由乙方负责。</w:t>
      </w:r>
    </w:p>
    <w:p w14:paraId="556716F9">
      <w:pPr>
        <w:pStyle w:val="16"/>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bCs/>
          <w:color w:val="auto"/>
          <w:kern w:val="0"/>
          <w:sz w:val="24"/>
        </w:rPr>
      </w:pPr>
      <w:r>
        <w:rPr>
          <w:rFonts w:hint="eastAsia" w:ascii="宋体" w:hAnsi="宋体" w:cs="宋体"/>
          <w:bCs/>
          <w:color w:val="auto"/>
          <w:kern w:val="0"/>
          <w:sz w:val="24"/>
        </w:rPr>
        <w:t>甲方按现有标准提供厂房用水用电设施，超出部分需乙方自行铺设，所需费用由乙方自行解决。乙方以其名义申报或自资增加的用电设备、设施等（如变压器、变电房等），在合同存续期间，其用户名称不得变更、不得转让；在合同结束后无偿归甲方所有，并应无条件协助甲方办理转户（变更）手续。</w:t>
      </w:r>
    </w:p>
    <w:p w14:paraId="5CC7BB71">
      <w:pPr>
        <w:pStyle w:val="16"/>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租赁物被政府认定为违法建设时，本合同自政府责令限期拆除之日自行终止，甲方对此不承担违约责任;乙方应在政府要求的期限内将租赁物内物品搬离，到期未搬离以及无法搬离的部分（包括但不限于装饰装修、入墙入地设施等）因政府强拆损毁的，乙方承诺自行承担由此造成的损失，与甲方无关;乙方有分租、转租行为的，因强拆引起的次承租人的一切纠纷，乙方承诺自行承担由此造成的损失，与甲方无关。</w:t>
      </w:r>
    </w:p>
    <w:p w14:paraId="5D6B66CF">
      <w:pPr>
        <w:pStyle w:val="17"/>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合同被认定无效时，乙方承诺在前述事由发生之日起当日内交还租赁物，除能用人手随意拿走的器具乙方可自行搬走外，所有入墙入地的固定装修、设备设施等均无偿归甲方所有，乙方如有损坏应当承担维修及赔偿责任。如非甲方书面同意增加的装饰、设备设施，甲方有权要求乙方自费恢复原状或赔偿另行拆除所产生的损失。乙方逾期交还的，甲方有权没收乙方保证金，并自乙方逾期交还之日起按照本合同最后一个月应缴款的三倍计收占用费直至乙方交还；逾期交还超过7天的，视为乙方同意由甲方自行收回，屋内物品为乙方弃置物，如其中包含、涉及他人物品或权益的，由乙方承担全部责任，甲方自行清理或聘请第三方清理引起的一切费用将由乙方承担。同时，自逾期交还之日起，甲方有权采取停水停电措施直至租赁物收回，由此造成乙方损失由乙方自行承担。</w:t>
      </w:r>
    </w:p>
    <w:p w14:paraId="3C7E678E">
      <w:pPr>
        <w:pStyle w:val="15"/>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乙方确认：上述约定乙方已完全知悉法律及经济后果，是乙方的真实意思表示，乙方自行评估相关风险。如乙方违反上述约定，甲方因此陷入诉讼的，乙方承诺承担甲方所有的付出，包括但不限于律师费、担保费、赔偿款等。</w:t>
      </w:r>
    </w:p>
    <w:p w14:paraId="0CEE1217">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2.本合同正本一式六份，甲方执二份，乙方执一份，</w:t>
      </w:r>
      <w:r>
        <w:rPr>
          <w:rFonts w:hint="eastAsia" w:ascii="宋体" w:hAnsi="宋体" w:cs="宋体"/>
          <w:color w:val="auto"/>
          <w:kern w:val="0"/>
          <w:sz w:val="24"/>
        </w:rPr>
        <w:t>广州市番禺区农村集体资产交易管理中心</w:t>
      </w:r>
      <w:r>
        <w:rPr>
          <w:rFonts w:hint="eastAsia" w:ascii="宋体" w:hAnsi="宋体" w:cs="宋体"/>
          <w:color w:val="auto"/>
          <w:sz w:val="24"/>
        </w:rPr>
        <w:t>存档一份，</w:t>
      </w:r>
      <w:r>
        <w:rPr>
          <w:rFonts w:hint="eastAsia" w:ascii="宋体" w:hAnsi="宋体" w:cs="宋体"/>
          <w:color w:val="auto"/>
          <w:sz w:val="24"/>
        </w:rPr>
        <w:softHyphen/>
      </w:r>
      <w:r>
        <w:rPr>
          <w:rFonts w:hint="eastAsia" w:ascii="宋体" w:hAnsi="宋体" w:cs="宋体"/>
          <w:color w:val="auto"/>
          <w:sz w:val="24"/>
        </w:rPr>
        <w:t>大龙街农村集体资产资源管理交易中心存档一份，大龙街农村财务结算中心一份，本合同自双方签字和盖章后生效。</w:t>
      </w:r>
    </w:p>
    <w:p w14:paraId="3E3F1699">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r>
        <w:rPr>
          <w:rFonts w:hint="eastAsia" w:ascii="宋体" w:hAnsi="宋体" w:cs="宋体"/>
          <w:color w:val="auto"/>
          <w:sz w:val="24"/>
        </w:rPr>
        <w:t>3.本合同于</w:t>
      </w:r>
      <w:r>
        <w:rPr>
          <w:rFonts w:hint="eastAsia" w:ascii="宋体" w:hAnsi="宋体" w:cs="宋体"/>
          <w:color w:val="auto"/>
          <w:kern w:val="0"/>
          <w:sz w:val="24"/>
        </w:rPr>
        <w:t>202</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kern w:val="0"/>
          <w:sz w:val="24"/>
        </w:rPr>
        <w:t>月</w:t>
      </w:r>
      <w:r>
        <w:rPr>
          <w:rFonts w:hint="eastAsia" w:ascii="宋体" w:hAnsi="宋体" w:cs="宋体"/>
          <w:color w:val="auto"/>
          <w:sz w:val="24"/>
          <w:u w:val="single"/>
        </w:rPr>
        <w:t xml:space="preserve">   </w:t>
      </w:r>
      <w:r>
        <w:rPr>
          <w:rFonts w:hint="eastAsia" w:ascii="宋体" w:hAnsi="宋体" w:cs="宋体"/>
          <w:color w:val="auto"/>
          <w:kern w:val="0"/>
          <w:sz w:val="24"/>
        </w:rPr>
        <w:t>日</w:t>
      </w:r>
      <w:r>
        <w:rPr>
          <w:rFonts w:hint="eastAsia" w:ascii="宋体" w:hAnsi="宋体" w:cs="宋体"/>
          <w:color w:val="auto"/>
          <w:sz w:val="24"/>
        </w:rPr>
        <w:t>在广州市番禺区签订。</w:t>
      </w:r>
    </w:p>
    <w:p w14:paraId="6D65F3AF">
      <w:pPr>
        <w:pStyle w:val="15"/>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rPr>
      </w:pPr>
    </w:p>
    <w:p w14:paraId="071C4D62">
      <w:pPr>
        <w:pStyle w:val="15"/>
        <w:keepNext w:val="0"/>
        <w:keepLines w:val="0"/>
        <w:pageBreakBefore w:val="0"/>
        <w:kinsoku/>
        <w:wordWrap/>
        <w:overflowPunct/>
        <w:topLinePunct w:val="0"/>
        <w:autoSpaceDE/>
        <w:autoSpaceDN/>
        <w:bidi w:val="0"/>
        <w:snapToGrid/>
        <w:spacing w:line="480" w:lineRule="exact"/>
        <w:ind w:firstLine="645"/>
        <w:textAlignment w:val="auto"/>
        <w:rPr>
          <w:rFonts w:ascii="宋体" w:hAnsi="宋体" w:cs="宋体"/>
          <w:color w:val="auto"/>
          <w:sz w:val="24"/>
        </w:rPr>
      </w:pPr>
      <w:r>
        <w:rPr>
          <w:rFonts w:hint="eastAsia" w:ascii="宋体" w:hAnsi="宋体" w:cs="宋体"/>
          <w:color w:val="auto"/>
          <w:sz w:val="24"/>
        </w:rPr>
        <w:t>甲方：广州市番禺区大龙街大龙村股份合作经济社</w:t>
      </w:r>
    </w:p>
    <w:p w14:paraId="2AC0ACD9">
      <w:pPr>
        <w:pStyle w:val="15"/>
        <w:keepNext w:val="0"/>
        <w:keepLines w:val="0"/>
        <w:pageBreakBefore w:val="0"/>
        <w:kinsoku/>
        <w:wordWrap/>
        <w:overflowPunct/>
        <w:topLinePunct w:val="0"/>
        <w:autoSpaceDE/>
        <w:autoSpaceDN/>
        <w:bidi w:val="0"/>
        <w:snapToGrid/>
        <w:spacing w:line="480" w:lineRule="exact"/>
        <w:ind w:firstLine="645"/>
        <w:textAlignment w:val="auto"/>
        <w:rPr>
          <w:rFonts w:ascii="宋体" w:hAnsi="宋体" w:cs="宋体"/>
          <w:color w:val="auto"/>
          <w:kern w:val="0"/>
          <w:sz w:val="24"/>
        </w:rPr>
      </w:pPr>
      <w:r>
        <w:rPr>
          <w:rFonts w:hint="eastAsia" w:ascii="宋体" w:hAnsi="宋体" w:cs="宋体"/>
          <w:color w:val="auto"/>
          <w:kern w:val="0"/>
          <w:sz w:val="24"/>
        </w:rPr>
        <w:t xml:space="preserve">（盖章）：                     </w:t>
      </w:r>
    </w:p>
    <w:p w14:paraId="243A97C2">
      <w:pPr>
        <w:pStyle w:val="15"/>
        <w:keepNext w:val="0"/>
        <w:keepLines w:val="0"/>
        <w:pageBreakBefore w:val="0"/>
        <w:kinsoku/>
        <w:wordWrap/>
        <w:overflowPunct/>
        <w:topLinePunct w:val="0"/>
        <w:autoSpaceDE/>
        <w:autoSpaceDN/>
        <w:bidi w:val="0"/>
        <w:snapToGrid/>
        <w:spacing w:line="480" w:lineRule="exact"/>
        <w:ind w:firstLine="645"/>
        <w:textAlignment w:val="auto"/>
        <w:rPr>
          <w:rFonts w:ascii="宋体" w:hAnsi="宋体" w:cs="宋体"/>
          <w:color w:val="auto"/>
          <w:kern w:val="0"/>
          <w:sz w:val="24"/>
        </w:rPr>
      </w:pPr>
      <w:r>
        <w:rPr>
          <w:rFonts w:hint="eastAsia" w:ascii="宋体" w:hAnsi="宋体" w:cs="宋体"/>
          <w:color w:val="auto"/>
          <w:kern w:val="0"/>
          <w:sz w:val="24"/>
        </w:rPr>
        <w:t>法定代表人/授权代表：</w:t>
      </w:r>
    </w:p>
    <w:p w14:paraId="57A85015">
      <w:pPr>
        <w:pStyle w:val="15"/>
        <w:keepNext w:val="0"/>
        <w:keepLines w:val="0"/>
        <w:pageBreakBefore w:val="0"/>
        <w:kinsoku/>
        <w:wordWrap/>
        <w:overflowPunct/>
        <w:topLinePunct w:val="0"/>
        <w:autoSpaceDE/>
        <w:autoSpaceDN/>
        <w:bidi w:val="0"/>
        <w:snapToGrid/>
        <w:spacing w:line="480" w:lineRule="exact"/>
        <w:ind w:firstLine="645"/>
        <w:textAlignment w:val="auto"/>
        <w:rPr>
          <w:rFonts w:ascii="宋体" w:hAnsi="宋体" w:cs="宋体"/>
          <w:color w:val="auto"/>
          <w:kern w:val="0"/>
          <w:sz w:val="24"/>
        </w:rPr>
      </w:pPr>
      <w:r>
        <w:rPr>
          <w:rFonts w:hint="eastAsia" w:ascii="宋体" w:hAnsi="宋体" w:cs="宋体"/>
          <w:color w:val="auto"/>
          <w:kern w:val="0"/>
          <w:sz w:val="24"/>
        </w:rPr>
        <w:t>日期：202</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kern w:val="0"/>
          <w:sz w:val="24"/>
        </w:rPr>
        <w:t>月</w:t>
      </w:r>
      <w:r>
        <w:rPr>
          <w:rFonts w:hint="eastAsia" w:ascii="宋体" w:hAnsi="宋体" w:cs="宋体"/>
          <w:color w:val="auto"/>
          <w:sz w:val="24"/>
          <w:u w:val="single"/>
        </w:rPr>
        <w:t xml:space="preserve">   </w:t>
      </w:r>
      <w:r>
        <w:rPr>
          <w:rFonts w:hint="eastAsia" w:ascii="宋体" w:hAnsi="宋体" w:cs="宋体"/>
          <w:color w:val="auto"/>
          <w:kern w:val="0"/>
          <w:sz w:val="24"/>
        </w:rPr>
        <w:t>日</w:t>
      </w:r>
    </w:p>
    <w:p w14:paraId="3A6AD8CE">
      <w:pPr>
        <w:pStyle w:val="15"/>
        <w:keepNext w:val="0"/>
        <w:keepLines w:val="0"/>
        <w:pageBreakBefore w:val="0"/>
        <w:kinsoku/>
        <w:wordWrap/>
        <w:overflowPunct/>
        <w:topLinePunct w:val="0"/>
        <w:autoSpaceDE/>
        <w:autoSpaceDN/>
        <w:bidi w:val="0"/>
        <w:snapToGrid/>
        <w:spacing w:line="480" w:lineRule="exact"/>
        <w:ind w:firstLine="645"/>
        <w:textAlignment w:val="auto"/>
        <w:rPr>
          <w:rFonts w:ascii="宋体" w:hAnsi="宋体" w:cs="宋体"/>
          <w:color w:val="auto"/>
          <w:kern w:val="0"/>
          <w:sz w:val="24"/>
        </w:rPr>
      </w:pPr>
    </w:p>
    <w:p w14:paraId="0645BA3A">
      <w:pPr>
        <w:pStyle w:val="15"/>
        <w:keepNext w:val="0"/>
        <w:keepLines w:val="0"/>
        <w:pageBreakBefore w:val="0"/>
        <w:kinsoku/>
        <w:wordWrap/>
        <w:overflowPunct/>
        <w:topLinePunct w:val="0"/>
        <w:autoSpaceDE/>
        <w:autoSpaceDN/>
        <w:bidi w:val="0"/>
        <w:snapToGrid/>
        <w:spacing w:line="480" w:lineRule="exact"/>
        <w:ind w:firstLine="645"/>
        <w:textAlignment w:val="auto"/>
        <w:rPr>
          <w:rFonts w:ascii="宋体" w:hAnsi="宋体" w:cs="宋体"/>
          <w:color w:val="auto"/>
          <w:kern w:val="0"/>
          <w:sz w:val="24"/>
        </w:rPr>
      </w:pPr>
      <w:r>
        <w:rPr>
          <w:rFonts w:hint="eastAsia" w:ascii="宋体" w:hAnsi="宋体" w:cs="宋体"/>
          <w:color w:val="auto"/>
          <w:sz w:val="24"/>
          <w:shd w:val="clear" w:color="auto" w:fill="FFFFFF"/>
        </w:rPr>
        <w:t>乙</w:t>
      </w:r>
      <w:r>
        <w:rPr>
          <w:rFonts w:hint="eastAsia" w:ascii="宋体" w:hAnsi="宋体" w:cs="宋体"/>
          <w:color w:val="auto"/>
          <w:kern w:val="0"/>
          <w:sz w:val="24"/>
        </w:rPr>
        <w:t xml:space="preserve">方：     </w:t>
      </w:r>
    </w:p>
    <w:p w14:paraId="1B9CF985">
      <w:pPr>
        <w:pStyle w:val="15"/>
        <w:keepNext w:val="0"/>
        <w:keepLines w:val="0"/>
        <w:pageBreakBefore w:val="0"/>
        <w:kinsoku/>
        <w:wordWrap/>
        <w:overflowPunct/>
        <w:topLinePunct w:val="0"/>
        <w:autoSpaceDE/>
        <w:autoSpaceDN/>
        <w:bidi w:val="0"/>
        <w:snapToGrid/>
        <w:spacing w:line="480" w:lineRule="exact"/>
        <w:ind w:firstLine="645"/>
        <w:textAlignment w:val="auto"/>
        <w:rPr>
          <w:rFonts w:ascii="宋体" w:hAnsi="宋体" w:cs="宋体"/>
          <w:color w:val="auto"/>
          <w:kern w:val="0"/>
          <w:sz w:val="24"/>
        </w:rPr>
      </w:pPr>
      <w:r>
        <w:rPr>
          <w:rFonts w:hint="eastAsia" w:ascii="宋体" w:hAnsi="宋体" w:cs="宋体"/>
          <w:color w:val="auto"/>
          <w:kern w:val="0"/>
          <w:sz w:val="24"/>
        </w:rPr>
        <w:t xml:space="preserve">（盖章）：                                     </w:t>
      </w:r>
    </w:p>
    <w:p w14:paraId="70BFEEF4">
      <w:pPr>
        <w:pStyle w:val="15"/>
        <w:keepNext w:val="0"/>
        <w:keepLines w:val="0"/>
        <w:pageBreakBefore w:val="0"/>
        <w:kinsoku/>
        <w:wordWrap/>
        <w:overflowPunct/>
        <w:topLinePunct w:val="0"/>
        <w:autoSpaceDE/>
        <w:autoSpaceDN/>
        <w:bidi w:val="0"/>
        <w:snapToGrid/>
        <w:spacing w:line="480" w:lineRule="exact"/>
        <w:ind w:firstLine="645"/>
        <w:textAlignment w:val="auto"/>
        <w:rPr>
          <w:rFonts w:ascii="宋体" w:hAnsi="宋体" w:cs="宋体"/>
          <w:color w:val="auto"/>
          <w:kern w:val="0"/>
          <w:sz w:val="24"/>
        </w:rPr>
      </w:pPr>
      <w:r>
        <w:rPr>
          <w:rFonts w:hint="eastAsia" w:ascii="宋体" w:hAnsi="宋体" w:cs="宋体"/>
          <w:color w:val="auto"/>
          <w:kern w:val="0"/>
          <w:sz w:val="24"/>
        </w:rPr>
        <w:t>法定代表人/授权代表：</w:t>
      </w:r>
    </w:p>
    <w:p w14:paraId="57C2A9E7">
      <w:pPr>
        <w:pStyle w:val="15"/>
        <w:keepNext w:val="0"/>
        <w:keepLines w:val="0"/>
        <w:pageBreakBefore w:val="0"/>
        <w:kinsoku/>
        <w:wordWrap/>
        <w:overflowPunct/>
        <w:topLinePunct w:val="0"/>
        <w:autoSpaceDE/>
        <w:autoSpaceDN/>
        <w:bidi w:val="0"/>
        <w:snapToGrid/>
        <w:spacing w:line="480" w:lineRule="exact"/>
        <w:ind w:firstLine="645"/>
        <w:textAlignment w:val="auto"/>
        <w:rPr>
          <w:rFonts w:hint="eastAsia"/>
          <w:color w:val="auto"/>
          <w:sz w:val="32"/>
          <w:szCs w:val="32"/>
          <w:highlight w:val="none"/>
          <w:lang w:val="en-US" w:eastAsia="zh-CN"/>
        </w:rPr>
      </w:pPr>
      <w:r>
        <w:rPr>
          <w:rFonts w:hint="eastAsia" w:ascii="宋体" w:hAnsi="宋体" w:cs="宋体"/>
          <w:color w:val="auto"/>
          <w:kern w:val="0"/>
          <w:sz w:val="24"/>
        </w:rPr>
        <w:t>日期：202</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kern w:val="0"/>
          <w:sz w:val="24"/>
        </w:rPr>
        <w:t>月</w:t>
      </w:r>
      <w:r>
        <w:rPr>
          <w:rFonts w:hint="eastAsia" w:ascii="宋体" w:hAnsi="宋体" w:cs="宋体"/>
          <w:color w:val="auto"/>
          <w:sz w:val="24"/>
          <w:u w:val="single"/>
        </w:rPr>
        <w:t xml:space="preserve">   </w:t>
      </w:r>
      <w:r>
        <w:rPr>
          <w:rFonts w:hint="eastAsia" w:ascii="宋体" w:hAnsi="宋体" w:cs="宋体"/>
          <w:color w:val="auto"/>
          <w:kern w:val="0"/>
          <w:sz w:val="24"/>
        </w:rPr>
        <w:t>日</w:t>
      </w:r>
    </w:p>
    <w:bookmarkEnd w:id="4"/>
    <w:sectPr>
      <w:headerReference r:id="rId3" w:type="default"/>
      <w:footerReference r:id="rId4" w:type="default"/>
      <w:pgSz w:w="11906" w:h="16838"/>
      <w:pgMar w:top="113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ExtB">
    <w:panose1 w:val="02020500000000000000"/>
    <w:charset w:val="88"/>
    <w:family w:val="roman"/>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556D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28E62">
                          <w:pPr>
                            <w:pStyle w:val="5"/>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328E62">
                    <w:pPr>
                      <w:pStyle w:val="5"/>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1EBE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C9D0A"/>
    <w:multiLevelType w:val="singleLevel"/>
    <w:tmpl w:val="90BC9D0A"/>
    <w:lvl w:ilvl="0" w:tentative="0">
      <w:start w:val="3"/>
      <w:numFmt w:val="chineseCounting"/>
      <w:suff w:val="nothing"/>
      <w:lvlText w:val="%1、"/>
      <w:lvlJc w:val="left"/>
      <w:rPr>
        <w:rFonts w:hint="eastAsia"/>
      </w:rPr>
    </w:lvl>
  </w:abstractNum>
  <w:abstractNum w:abstractNumId="1">
    <w:nsid w:val="917EFB2A"/>
    <w:multiLevelType w:val="singleLevel"/>
    <w:tmpl w:val="917EFB2A"/>
    <w:lvl w:ilvl="0" w:tentative="0">
      <w:start w:val="3"/>
      <w:numFmt w:val="decimal"/>
      <w:lvlText w:val="%1."/>
      <w:lvlJc w:val="left"/>
      <w:pPr>
        <w:tabs>
          <w:tab w:val="left" w:pos="312"/>
        </w:tabs>
      </w:pPr>
    </w:lvl>
  </w:abstractNum>
  <w:abstractNum w:abstractNumId="2">
    <w:nsid w:val="F2205E95"/>
    <w:multiLevelType w:val="singleLevel"/>
    <w:tmpl w:val="F2205E95"/>
    <w:lvl w:ilvl="0" w:tentative="0">
      <w:start w:val="1"/>
      <w:numFmt w:val="chineseCounting"/>
      <w:suff w:val="nothing"/>
      <w:lvlText w:val="%1、"/>
      <w:lvlJc w:val="left"/>
      <w:pPr>
        <w:ind w:left="70"/>
      </w:pPr>
      <w:rPr>
        <w:rFonts w:hint="eastAsia"/>
        <w:b/>
        <w:bCs/>
      </w:rPr>
    </w:lvl>
  </w:abstractNum>
  <w:abstractNum w:abstractNumId="3">
    <w:nsid w:val="03929FA3"/>
    <w:multiLevelType w:val="singleLevel"/>
    <w:tmpl w:val="03929FA3"/>
    <w:lvl w:ilvl="0" w:tentative="0">
      <w:start w:val="2"/>
      <w:numFmt w:val="decimal"/>
      <w:lvlText w:val="%1."/>
      <w:lvlJc w:val="left"/>
      <w:pPr>
        <w:tabs>
          <w:tab w:val="left" w:pos="312"/>
        </w:tabs>
        <w:ind w:left="525" w:leftChars="0" w:firstLine="0" w:firstLineChars="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ZTk4YzdjOTIxZjdlOTYyNWNkMjY3YzBmZTUxMzAifQ=="/>
  </w:docVars>
  <w:rsids>
    <w:rsidRoot w:val="53AC4A00"/>
    <w:rsid w:val="05AA7856"/>
    <w:rsid w:val="10CC1F88"/>
    <w:rsid w:val="115765CC"/>
    <w:rsid w:val="1238446A"/>
    <w:rsid w:val="15DC7F18"/>
    <w:rsid w:val="1722583B"/>
    <w:rsid w:val="1E811CEA"/>
    <w:rsid w:val="1FD761D7"/>
    <w:rsid w:val="2201638A"/>
    <w:rsid w:val="25B00BDB"/>
    <w:rsid w:val="2C7E2626"/>
    <w:rsid w:val="2F251161"/>
    <w:rsid w:val="2F3A5FA5"/>
    <w:rsid w:val="351F6F96"/>
    <w:rsid w:val="35BE4B8F"/>
    <w:rsid w:val="3EE12F1D"/>
    <w:rsid w:val="3FD614C0"/>
    <w:rsid w:val="45415E7F"/>
    <w:rsid w:val="46E4575A"/>
    <w:rsid w:val="49B60601"/>
    <w:rsid w:val="4B6A330D"/>
    <w:rsid w:val="4C7C718B"/>
    <w:rsid w:val="4EE250F2"/>
    <w:rsid w:val="53AC4A00"/>
    <w:rsid w:val="555B40D2"/>
    <w:rsid w:val="656508F6"/>
    <w:rsid w:val="66417EAC"/>
    <w:rsid w:val="70F01000"/>
    <w:rsid w:val="76DC22EE"/>
    <w:rsid w:val="7CD45232"/>
    <w:rsid w:val="7FD2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11"/>
    <w:qFormat/>
    <w:uiPriority w:val="0"/>
    <w:rPr>
      <w:rFonts w:hint="eastAsia" w:ascii="宋体" w:hAnsi="宋体" w:eastAsia="宋体" w:cs="宋体"/>
      <w:b/>
      <w:bCs/>
      <w:color w:val="000000"/>
      <w:sz w:val="21"/>
      <w:szCs w:val="21"/>
      <w:u w:val="none"/>
    </w:rPr>
  </w:style>
  <w:style w:type="character" w:customStyle="1" w:styleId="12">
    <w:name w:val="font41"/>
    <w:qFormat/>
    <w:uiPriority w:val="0"/>
    <w:rPr>
      <w:rFonts w:hint="default" w:ascii="Calibri" w:hAnsi="Calibri" w:cs="Calibri"/>
      <w:color w:val="000000"/>
      <w:sz w:val="21"/>
      <w:szCs w:val="21"/>
      <w:u w:val="none"/>
    </w:rPr>
  </w:style>
  <w:style w:type="character" w:customStyle="1" w:styleId="13">
    <w:name w:val="font31"/>
    <w:qFormat/>
    <w:uiPriority w:val="0"/>
    <w:rPr>
      <w:rFonts w:hint="eastAsia" w:ascii="宋体" w:hAnsi="宋体" w:eastAsia="宋体" w:cs="宋体"/>
      <w:color w:val="000000"/>
      <w:sz w:val="21"/>
      <w:szCs w:val="21"/>
      <w:u w:val="none"/>
    </w:rPr>
  </w:style>
  <w:style w:type="paragraph" w:customStyle="1" w:styleId="14">
    <w:name w:val="Body text|231"/>
    <w:basedOn w:val="1"/>
    <w:qFormat/>
    <w:uiPriority w:val="99"/>
    <w:pPr>
      <w:shd w:val="clear" w:color="auto" w:fill="FFFFFF"/>
      <w:spacing w:before="280" w:after="160" w:line="220" w:lineRule="exact"/>
      <w:ind w:hanging="1400"/>
      <w:jc w:val="distribute"/>
    </w:pPr>
    <w:rPr>
      <w:rFonts w:ascii="PMingLiU-ExtB" w:hAnsi="PMingLiU-ExtB" w:eastAsia="PMingLiU-ExtB" w:cs="PMingLiU-ExtB"/>
      <w:sz w:val="22"/>
      <w:szCs w:val="22"/>
    </w:rPr>
  </w:style>
  <w:style w:type="paragraph" w:customStyle="1" w:styleId="15">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13103</Words>
  <Characters>13563</Characters>
  <Lines>0</Lines>
  <Paragraphs>0</Paragraphs>
  <TotalTime>0</TotalTime>
  <ScaleCrop>false</ScaleCrop>
  <LinksUpToDate>false</LinksUpToDate>
  <CharactersWithSpaces>13950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2025-05-28T07:26:00Z</dcterms:created>
  <dc:creator>稀饭Sophia</dc:creator>
  <cp:lastModifiedBy>黎佩嫦</cp:lastModifiedBy>
  <cp:lastPrinted>2025-11-10T02:36:00Z</cp:lastPrinted>
  <dcterms:modified xsi:type="dcterms:W3CDTF">2026-03-24T02:10:36Z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BE30F82BB8684FA78FC123D307190428_13</vt:lpwstr>
  </property>
  <property fmtid="{D5CDD505-2E9C-101B-9397-08002B2CF9AE}" pid="4" name="KSOTemplateDocerSaveRecord">
    <vt:lpwstr>eyJoZGlkIjoiNjY4OGMzNjk3ZTY3MWVhZjg2Y2EyOTJlZDJiMzFjYzciLCJ1c2VySWQiOiIyMDE5Njc4NTEifQ==</vt:lpwstr>
  </property>
</Properties>
</file>