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C3D8E">
      <w:pPr>
        <w:pStyle w:val="4"/>
        <w:numPr>
          <w:ilvl w:val="0"/>
          <w:numId w:val="0"/>
        </w:numPr>
        <w:bidi w:val="0"/>
        <w:jc w:val="cente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pPr>
    </w:p>
    <w:p w14:paraId="0BDCBAB3">
      <w:pPr>
        <w:pStyle w:val="4"/>
        <w:numPr>
          <w:ilvl w:val="0"/>
          <w:numId w:val="0"/>
        </w:numPr>
        <w:bidi w:val="0"/>
        <w:jc w:val="cente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pPr>
    </w:p>
    <w:p w14:paraId="125D9CF2">
      <w:pPr>
        <w:pStyle w:val="4"/>
        <w:numPr>
          <w:ilvl w:val="0"/>
          <w:numId w:val="0"/>
        </w:numPr>
        <w:bidi w:val="0"/>
        <w:jc w:val="cente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pPr>
      <w:bookmarkStart w:id="0" w:name="_GoBack"/>
      <w:bookmarkEnd w:id="0"/>
    </w:p>
    <w:p w14:paraId="190E6CAD">
      <w:pPr>
        <w:pStyle w:val="4"/>
        <w:numPr>
          <w:ilvl w:val="0"/>
          <w:numId w:val="0"/>
        </w:numPr>
        <w:bidi w:val="0"/>
        <w:jc w:val="cente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pPr>
    </w:p>
    <w:p w14:paraId="7A862AE4">
      <w:pPr>
        <w:pStyle w:val="4"/>
        <w:numPr>
          <w:ilvl w:val="0"/>
          <w:numId w:val="0"/>
        </w:numPr>
        <w:bidi w:val="0"/>
        <w:jc w:val="cente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pPr>
    </w:p>
    <w:p w14:paraId="214EF4D6">
      <w:pPr>
        <w:pStyle w:val="4"/>
        <w:numPr>
          <w:ilvl w:val="0"/>
          <w:numId w:val="0"/>
        </w:numPr>
        <w:bidi w:val="0"/>
        <w:jc w:val="both"/>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pPr>
    </w:p>
    <w:p w14:paraId="3ECC0925">
      <w:pPr>
        <w:pStyle w:val="4"/>
        <w:numPr>
          <w:ilvl w:val="0"/>
          <w:numId w:val="0"/>
        </w:numPr>
        <w:bidi w:val="0"/>
        <w:jc w:val="both"/>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pPr>
      <w: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t>番禺区农村集体资产</w:t>
      </w:r>
      <w: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t>网上</w:t>
      </w:r>
      <w:r>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t>交易竞投人须知</w:t>
      </w:r>
    </w:p>
    <w:p w14:paraId="55E996F0">
      <w:pPr>
        <w:pStyle w:val="4"/>
        <w:numPr>
          <w:ilvl w:val="0"/>
          <w:numId w:val="0"/>
        </w:numPr>
        <w:bidi w:val="0"/>
        <w:jc w:val="both"/>
        <w:rPr>
          <w:rFonts w:hint="eastAsia" w:ascii="方正小标宋简体" w:hAnsi="方正小标宋简体" w:eastAsia="方正小标宋简体" w:cs="方正小标宋简体"/>
          <w:b/>
          <w:bCs w:val="0"/>
          <w:color w:val="auto"/>
          <w:w w:val="90"/>
          <w:kern w:val="2"/>
          <w:sz w:val="44"/>
          <w:szCs w:val="44"/>
          <w:highlight w:val="none"/>
          <w:u w:val="none"/>
          <w:lang w:val="en-US" w:eastAsia="zh-CN" w:bidi="ar-SA"/>
        </w:rPr>
      </w:pPr>
    </w:p>
    <w:p w14:paraId="5A75D931">
      <w:pPr>
        <w:rPr>
          <w:rFonts w:hint="eastAsia"/>
          <w:color w:val="auto"/>
          <w:highlight w:val="none"/>
          <w:lang w:val="en-US" w:eastAsia="zh-CN"/>
        </w:rPr>
      </w:pPr>
    </w:p>
    <w:p w14:paraId="2253BB45">
      <w:pPr>
        <w:pStyle w:val="2"/>
        <w:rPr>
          <w:rFonts w:hint="eastAsia"/>
          <w:color w:val="auto"/>
          <w:highlight w:val="none"/>
          <w:lang w:val="en-US" w:eastAsia="zh-CN"/>
        </w:rPr>
      </w:pPr>
    </w:p>
    <w:p w14:paraId="7B31467A">
      <w:pPr>
        <w:pStyle w:val="2"/>
        <w:rPr>
          <w:rFonts w:hint="eastAsia"/>
          <w:color w:val="auto"/>
          <w:highlight w:val="none"/>
          <w:lang w:val="en-US" w:eastAsia="zh-CN"/>
        </w:rPr>
      </w:pPr>
    </w:p>
    <w:p w14:paraId="5E01F8B2">
      <w:pPr>
        <w:pStyle w:val="2"/>
        <w:rPr>
          <w:rFonts w:hint="eastAsia"/>
          <w:color w:val="auto"/>
          <w:highlight w:val="none"/>
          <w:lang w:val="en-US" w:eastAsia="zh-CN"/>
        </w:rPr>
      </w:pPr>
    </w:p>
    <w:p w14:paraId="01790BE5">
      <w:pPr>
        <w:pStyle w:val="2"/>
        <w:rPr>
          <w:rFonts w:hint="eastAsia"/>
          <w:color w:val="auto"/>
          <w:highlight w:val="none"/>
          <w:lang w:val="en-US" w:eastAsia="zh-CN"/>
        </w:rPr>
      </w:pPr>
    </w:p>
    <w:p w14:paraId="0DDCB82A">
      <w:pPr>
        <w:pStyle w:val="2"/>
        <w:rPr>
          <w:rFonts w:hint="eastAsia"/>
          <w:color w:val="auto"/>
          <w:highlight w:val="none"/>
          <w:lang w:val="en-US" w:eastAsia="zh-CN"/>
        </w:rPr>
      </w:pPr>
    </w:p>
    <w:p w14:paraId="08CD976E">
      <w:pPr>
        <w:pStyle w:val="2"/>
        <w:rPr>
          <w:rFonts w:hint="eastAsia"/>
          <w:color w:val="auto"/>
          <w:highlight w:val="none"/>
          <w:lang w:val="en-US" w:eastAsia="zh-CN"/>
        </w:rPr>
      </w:pPr>
    </w:p>
    <w:p w14:paraId="58340E68">
      <w:pPr>
        <w:pStyle w:val="2"/>
        <w:rPr>
          <w:rFonts w:hint="eastAsia"/>
          <w:color w:val="auto"/>
          <w:highlight w:val="none"/>
          <w:lang w:val="en-US" w:eastAsia="zh-CN"/>
        </w:rPr>
      </w:pPr>
    </w:p>
    <w:p w14:paraId="2D85D903">
      <w:pPr>
        <w:pStyle w:val="2"/>
        <w:rPr>
          <w:rFonts w:hint="eastAsia"/>
          <w:color w:val="auto"/>
          <w:highlight w:val="none"/>
          <w:lang w:val="en-US" w:eastAsia="zh-CN"/>
        </w:rPr>
      </w:pPr>
    </w:p>
    <w:p w14:paraId="0FFAA5F4">
      <w:pPr>
        <w:pStyle w:val="2"/>
        <w:rPr>
          <w:rFonts w:hint="eastAsia"/>
          <w:color w:val="auto"/>
          <w:highlight w:val="none"/>
          <w:lang w:val="en-US" w:eastAsia="zh-CN"/>
        </w:rPr>
      </w:pPr>
    </w:p>
    <w:p w14:paraId="1015989E">
      <w:pPr>
        <w:pStyle w:val="2"/>
        <w:rPr>
          <w:rFonts w:hint="eastAsia"/>
          <w:color w:val="auto"/>
          <w:highlight w:val="none"/>
          <w:lang w:val="en-US" w:eastAsia="zh-CN"/>
        </w:rPr>
      </w:pPr>
    </w:p>
    <w:p w14:paraId="2B70FAF5">
      <w:pPr>
        <w:pStyle w:val="2"/>
        <w:rPr>
          <w:rFonts w:hint="eastAsia"/>
          <w:color w:val="auto"/>
          <w:highlight w:val="none"/>
          <w:lang w:val="en-US" w:eastAsia="zh-CN"/>
        </w:rPr>
      </w:pPr>
    </w:p>
    <w:p w14:paraId="7AC93D79">
      <w:pPr>
        <w:pStyle w:val="2"/>
        <w:rPr>
          <w:rFonts w:hint="eastAsia"/>
          <w:color w:val="auto"/>
          <w:highlight w:val="none"/>
          <w:lang w:val="en-US" w:eastAsia="zh-CN"/>
        </w:rPr>
      </w:pPr>
    </w:p>
    <w:p w14:paraId="58498F42">
      <w:pPr>
        <w:pStyle w:val="2"/>
        <w:rPr>
          <w:rFonts w:hint="eastAsia"/>
          <w:color w:val="auto"/>
          <w:highlight w:val="none"/>
          <w:lang w:val="en-US" w:eastAsia="zh-CN"/>
        </w:rPr>
      </w:pPr>
    </w:p>
    <w:p w14:paraId="21F43AFC">
      <w:pPr>
        <w:pStyle w:val="2"/>
        <w:ind w:left="0" w:leftChars="0" w:firstLine="0" w:firstLineChars="0"/>
        <w:rPr>
          <w:rFonts w:hint="eastAsia"/>
          <w:color w:val="auto"/>
          <w:highlight w:val="none"/>
          <w:lang w:val="en-US" w:eastAsia="zh-CN"/>
        </w:rPr>
      </w:pPr>
    </w:p>
    <w:p w14:paraId="28F60B98">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关于竞投人种类的说明</w:t>
      </w:r>
    </w:p>
    <w:p w14:paraId="004E2A68">
      <w:pPr>
        <w:shd w:val="clear" w:color="auto" w:fill="auto"/>
        <w:spacing w:line="440" w:lineRule="exact"/>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竞投人必须是具有完全民事行为能力的自然人、个体工商户、农村承包经营户、在中华人民共和国境内注册并合法运营的法人、个人独资企业、合伙企业和其他非法人组织（具体竞投人要求以交易公告准入条件为准），详见下表：</w:t>
      </w:r>
    </w:p>
    <w:p w14:paraId="5EF55A78">
      <w:pPr>
        <w:shd w:val="clear" w:color="auto" w:fill="auto"/>
        <w:spacing w:line="240" w:lineRule="auto"/>
        <w:ind w:firstLine="0" w:firstLineChars="0"/>
        <w:rPr>
          <w:rFonts w:hint="eastAsia" w:ascii="黑体" w:hAnsi="黑体" w:eastAsia="黑体" w:cs="黑体"/>
          <w:b w:val="0"/>
          <w:bCs w:val="0"/>
          <w:color w:val="auto"/>
          <w:sz w:val="28"/>
          <w:szCs w:val="28"/>
          <w:highlight w:val="none"/>
          <w:u w:val="none"/>
        </w:rPr>
      </w:pPr>
      <w:r>
        <w:rPr>
          <w:rFonts w:hint="eastAsia" w:ascii="仿宋" w:hAnsi="仿宋" w:eastAsia="仿宋" w:cs="仿宋"/>
          <w:color w:val="auto"/>
          <w:sz w:val="28"/>
          <w:szCs w:val="28"/>
          <w:highlight w:val="none"/>
          <w:u w:val="none"/>
          <w:lang w:val="en-US" w:eastAsia="zh-CN"/>
        </w:rPr>
        <w:object>
          <v:shape id="_x0000_i1025" o:spt="75" type="#_x0000_t75" style="height:371.25pt;width:454.5pt;" o:ole="t" filled="f" o:preferrelative="t" stroked="f" coordsize="21600,21600">
            <v:path/>
            <v:fill on="f" focussize="0,0"/>
            <v:stroke on="f"/>
            <v:imagedata r:id="rId5" o:title=""/>
            <o:lock v:ext="edit" aspectratio="t"/>
            <w10:wrap type="none"/>
            <w10:anchorlock/>
          </v:shape>
          <o:OLEObject Type="Embed" ProgID="Excel.Sheet.12" ShapeID="_x0000_i1025" DrawAspect="Content" ObjectID="_1468075725" r:id="rId4">
            <o:LockedField>false</o:LockedField>
          </o:OLEObject>
        </w:object>
      </w:r>
    </w:p>
    <w:p w14:paraId="0C07D61F">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网上交易账号注册</w:t>
      </w:r>
    </w:p>
    <w:p w14:paraId="2D6F4DC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2.1竞投人登录广州市番禺区集体经济组织三资管理平台（网址地址：http://nclqyj.panyu.gd.cn/）或“广州市番禺农村集体资产交易”微信公众号注册账号，提交注册信息后，待审核通过，方可在【网上竞投】模块中选择意向项目进行报名。</w:t>
      </w:r>
      <w:r>
        <w:rPr>
          <w:rFonts w:hint="eastAsia" w:ascii="仿宋" w:hAnsi="仿宋" w:eastAsia="仿宋" w:cs="仿宋"/>
          <w:color w:val="auto"/>
          <w:sz w:val="28"/>
          <w:szCs w:val="28"/>
          <w:highlight w:val="none"/>
          <w:u w:val="none"/>
        </w:rPr>
        <w:t>竞投人是完全民事行为能力的自然人的，竞投</w:t>
      </w:r>
      <w:r>
        <w:rPr>
          <w:rFonts w:hint="eastAsia" w:ascii="仿宋" w:hAnsi="仿宋" w:eastAsia="仿宋" w:cs="仿宋"/>
          <w:color w:val="auto"/>
          <w:sz w:val="28"/>
          <w:szCs w:val="28"/>
          <w:highlight w:val="none"/>
          <w:u w:val="none"/>
          <w:lang w:val="en-US" w:eastAsia="zh-CN"/>
        </w:rPr>
        <w:t>人</w:t>
      </w:r>
      <w:r>
        <w:rPr>
          <w:rFonts w:hint="eastAsia" w:ascii="仿宋" w:hAnsi="仿宋" w:eastAsia="仿宋" w:cs="仿宋"/>
          <w:color w:val="auto"/>
          <w:sz w:val="28"/>
          <w:szCs w:val="28"/>
          <w:highlight w:val="none"/>
          <w:u w:val="none"/>
        </w:rPr>
        <w:t>代表必须是竞投人本人</w:t>
      </w:r>
      <w:r>
        <w:rPr>
          <w:rFonts w:hint="eastAsia" w:ascii="仿宋" w:hAnsi="仿宋" w:eastAsia="仿宋" w:cs="仿宋"/>
          <w:color w:val="auto"/>
          <w:sz w:val="28"/>
          <w:szCs w:val="28"/>
          <w:highlight w:val="none"/>
          <w:u w:val="none"/>
          <w:lang w:val="en-US" w:eastAsia="zh-CN"/>
        </w:rPr>
        <w:t>；</w:t>
      </w:r>
    </w:p>
    <w:p w14:paraId="1DD64539">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2.2竞投人注册账号基本要求：</w:t>
      </w:r>
    </w:p>
    <w:p w14:paraId="55A4E48E">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2.2.1完全民事行为能力的自然人：参加网上竞投的竞投人必须以其本人身份信息注册账号；</w:t>
      </w:r>
    </w:p>
    <w:p w14:paraId="2796C7A1">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2.2.2工商登记注册的个体户：参加网上竞投的竞投人必须以其在工商部门登记的负责人身份信息注册账号；</w:t>
      </w:r>
    </w:p>
    <w:p w14:paraId="2795DC14">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2.2.3</w:t>
      </w:r>
      <w:r>
        <w:rPr>
          <w:rFonts w:hint="eastAsia" w:ascii="仿宋" w:hAnsi="仿宋" w:eastAsia="仿宋" w:cs="仿宋"/>
          <w:color w:val="auto"/>
          <w:sz w:val="28"/>
          <w:szCs w:val="28"/>
          <w:highlight w:val="none"/>
          <w:u w:val="none"/>
        </w:rPr>
        <w:t>农村承包经营户</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参加网上竞投的竞投人必须以以其本人身份信息注册账号（且</w:t>
      </w:r>
      <w:r>
        <w:rPr>
          <w:rFonts w:hint="eastAsia" w:ascii="仿宋" w:hAnsi="仿宋" w:eastAsia="仿宋" w:cs="仿宋"/>
          <w:color w:val="auto"/>
          <w:sz w:val="28"/>
          <w:szCs w:val="28"/>
          <w:highlight w:val="none"/>
          <w:u w:val="none"/>
        </w:rPr>
        <w:t>必须是</w:t>
      </w:r>
      <w:r>
        <w:rPr>
          <w:rFonts w:hint="eastAsia" w:ascii="仿宋" w:hAnsi="仿宋" w:eastAsia="仿宋" w:cs="仿宋"/>
          <w:color w:val="auto"/>
          <w:sz w:val="28"/>
          <w:szCs w:val="28"/>
          <w:highlight w:val="none"/>
          <w:u w:val="none"/>
          <w:lang w:eastAsia="zh-CN"/>
        </w:rPr>
        <w:t>承包方成员之一</w:t>
      </w:r>
      <w:r>
        <w:rPr>
          <w:rFonts w:hint="eastAsia" w:ascii="仿宋" w:hAnsi="仿宋" w:eastAsia="仿宋" w:cs="仿宋"/>
          <w:color w:val="auto"/>
          <w:sz w:val="28"/>
          <w:szCs w:val="28"/>
          <w:highlight w:val="none"/>
          <w:u w:val="none"/>
          <w:lang w:val="en-US" w:eastAsia="zh-CN"/>
        </w:rPr>
        <w:t>）；</w:t>
      </w:r>
    </w:p>
    <w:p w14:paraId="350FAF10">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2.2.4法人单位：参加网上竞投的竞投人必须以营业执照上的单位名称注册账号；</w:t>
      </w:r>
    </w:p>
    <w:p w14:paraId="1358EDA3">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color w:val="auto"/>
          <w:highlight w:val="none"/>
          <w:lang w:val="en-US" w:eastAsia="zh-CN"/>
        </w:rPr>
      </w:pPr>
      <w:r>
        <w:rPr>
          <w:rFonts w:hint="eastAsia" w:ascii="仿宋" w:hAnsi="仿宋" w:eastAsia="仿宋" w:cs="仿宋"/>
          <w:color w:val="auto"/>
          <w:sz w:val="28"/>
          <w:szCs w:val="28"/>
          <w:highlight w:val="none"/>
          <w:u w:val="none"/>
          <w:lang w:val="en-US" w:eastAsia="zh-CN"/>
        </w:rPr>
        <w:t>2.2.5非法人企业：参加网上竞投的竞投人必须以营业执照上的单位名称注册账号。</w:t>
      </w:r>
    </w:p>
    <w:p w14:paraId="778276C5">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网上交易报名</w:t>
      </w:r>
    </w:p>
    <w:p w14:paraId="4C3AC1F4">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3.1注册成功的竞投人应于报名时间内通过广州市番禺区集体经济组织三资管理平台（网址地址：http://nclqyj.panyu.gd.cn/）或“广州市番禺农村集体资产交易”微信公众号的【网上竞投】模块登录账号，选择意向的项目点击【我要报名】，仔细阅读交易公告后获取交易保证金的收款账号。</w:t>
      </w:r>
    </w:p>
    <w:p w14:paraId="50EC2F98">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3.2竞投人须通过银行转账方式完成转账，按照项目《交易文件》的交易保证金金额要求及项目报名界面中显示的银行账号，确保交易保证金在报名结束前一次性全额到达项目指定账户（仅限于通过银行的渠道进行转账，包括手机银行、网上银行等，拒收支付宝转账、微信转账、现金存款）。</w:t>
      </w:r>
    </w:p>
    <w:p w14:paraId="16F677AC">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3.3注意事项：</w:t>
      </w:r>
    </w:p>
    <w:p w14:paraId="0114437A">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3.3.1每个项目对应唯一收款账号；</w:t>
      </w:r>
    </w:p>
    <w:p w14:paraId="4953AECE">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3.3.2一份交易保证金只能参加一宗交易竞投；</w:t>
      </w:r>
    </w:p>
    <w:p w14:paraId="3A6C4BC2">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3.3.3竞投人支付交易保证金的</w:t>
      </w:r>
      <w:r>
        <w:rPr>
          <w:rFonts w:hint="eastAsia" w:ascii="仿宋" w:hAnsi="仿宋" w:eastAsia="仿宋" w:cs="仿宋"/>
          <w:b/>
          <w:bCs/>
          <w:color w:val="auto"/>
          <w:sz w:val="28"/>
          <w:szCs w:val="28"/>
          <w:highlight w:val="none"/>
          <w:u w:val="single"/>
          <w:lang w:val="en-US" w:eastAsia="zh-CN"/>
        </w:rPr>
        <w:t>户名</w:t>
      </w:r>
      <w:r>
        <w:rPr>
          <w:rFonts w:hint="eastAsia" w:ascii="仿宋" w:hAnsi="仿宋" w:eastAsia="仿宋" w:cs="仿宋"/>
          <w:b w:val="0"/>
          <w:bCs w:val="0"/>
          <w:color w:val="auto"/>
          <w:sz w:val="28"/>
          <w:szCs w:val="28"/>
          <w:highlight w:val="none"/>
          <w:u w:val="single"/>
          <w:lang w:val="en-US" w:eastAsia="zh-CN"/>
        </w:rPr>
        <w:t>必须与</w:t>
      </w:r>
      <w:r>
        <w:rPr>
          <w:rFonts w:hint="eastAsia" w:ascii="仿宋" w:hAnsi="仿宋" w:eastAsia="仿宋" w:cs="仿宋"/>
          <w:b/>
          <w:bCs/>
          <w:color w:val="auto"/>
          <w:sz w:val="28"/>
          <w:szCs w:val="28"/>
          <w:highlight w:val="none"/>
          <w:u w:val="single"/>
          <w:lang w:val="en-US" w:eastAsia="zh-CN"/>
        </w:rPr>
        <w:t>报名名称</w:t>
      </w:r>
      <w:r>
        <w:rPr>
          <w:rFonts w:hint="eastAsia" w:ascii="仿宋" w:hAnsi="仿宋" w:eastAsia="仿宋" w:cs="仿宋"/>
          <w:b w:val="0"/>
          <w:bCs w:val="0"/>
          <w:color w:val="auto"/>
          <w:sz w:val="28"/>
          <w:szCs w:val="28"/>
          <w:highlight w:val="none"/>
          <w:u w:val="single"/>
          <w:lang w:val="en-US" w:eastAsia="zh-CN"/>
        </w:rPr>
        <w:t>及实际参加竞投的</w:t>
      </w:r>
      <w:r>
        <w:rPr>
          <w:rFonts w:hint="eastAsia" w:ascii="仿宋" w:hAnsi="仿宋" w:eastAsia="仿宋" w:cs="仿宋"/>
          <w:b/>
          <w:bCs/>
          <w:color w:val="auto"/>
          <w:sz w:val="28"/>
          <w:szCs w:val="28"/>
          <w:highlight w:val="none"/>
          <w:u w:val="single"/>
          <w:lang w:val="en-US" w:eastAsia="zh-CN"/>
        </w:rPr>
        <w:t>竞投人名称</w:t>
      </w:r>
      <w:r>
        <w:rPr>
          <w:rFonts w:hint="eastAsia" w:ascii="仿宋" w:hAnsi="仿宋" w:eastAsia="仿宋" w:cs="仿宋"/>
          <w:b w:val="0"/>
          <w:bCs w:val="0"/>
          <w:color w:val="auto"/>
          <w:sz w:val="28"/>
          <w:szCs w:val="28"/>
          <w:highlight w:val="none"/>
          <w:u w:val="single"/>
          <w:lang w:val="en-US" w:eastAsia="zh-CN"/>
        </w:rPr>
        <w:t>一致，否则银行系统无法匹配，银行系统匹配不一致导致保证金无法到达指定帐号的，均无法完成报名；</w:t>
      </w:r>
    </w:p>
    <w:p w14:paraId="638EF1A4">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3.3.4逾期未交纳交易保证金的，或交易保证金款项未在指定日期前到账的，均视为未按要求交纳交易保证金，均无法完成报名。</w:t>
      </w:r>
    </w:p>
    <w:p w14:paraId="720368AE">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3.3.5竞投人需在交易系统报名界面正确填写具体的转账信息并上传转账凭证</w:t>
      </w:r>
      <w:r>
        <w:rPr>
          <w:rFonts w:hint="eastAsia" w:ascii="仿宋" w:hAnsi="仿宋" w:eastAsia="仿宋" w:cs="仿宋"/>
          <w:b/>
          <w:bCs/>
          <w:color w:val="auto"/>
          <w:sz w:val="28"/>
          <w:szCs w:val="28"/>
          <w:highlight w:val="none"/>
          <w:u w:val="single"/>
          <w:lang w:val="en-US" w:eastAsia="zh-CN"/>
        </w:rPr>
        <w:t>（转账凭证上须有转账人主张签署，个人签名并加盖指模，企业加盖公章）</w:t>
      </w:r>
      <w:r>
        <w:rPr>
          <w:rFonts w:hint="eastAsia" w:ascii="仿宋" w:hAnsi="仿宋" w:eastAsia="仿宋" w:cs="仿宋"/>
          <w:b w:val="0"/>
          <w:bCs w:val="0"/>
          <w:color w:val="auto"/>
          <w:sz w:val="28"/>
          <w:szCs w:val="28"/>
          <w:highlight w:val="none"/>
          <w:u w:val="single"/>
          <w:lang w:val="en-US" w:eastAsia="zh-CN"/>
        </w:rPr>
        <w:t>。</w:t>
      </w:r>
    </w:p>
    <w:p w14:paraId="102BDCEE">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3.4提交报名资料</w:t>
      </w:r>
    </w:p>
    <w:p w14:paraId="46355E8A">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竞投人完成交纳交易保证金后重新进入报名界面正确完整填写报名及转账信息，上传转账凭证及项目要求的其他资料，点击保存并提交报名。</w:t>
      </w:r>
    </w:p>
    <w:p w14:paraId="7F057391">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3.5竞投人资格审核</w:t>
      </w:r>
    </w:p>
    <w:p w14:paraId="78C486F2">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3.5.1项目业主单位无其他资质条件要求的项目，竞投人需在报名界面中正确填写转账信息并上传转账凭证，填写信息与转账信息经系统匹配一致后，完成报名流程。</w:t>
      </w:r>
    </w:p>
    <w:p w14:paraId="3B85D39F">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3.5.2项目业主单位有其他资质条件要求的项目，竞投人需在报名界面中正确填写转账信息，上传转账凭证及其他资质条件要求的相应资料，等待审核，并在报名时间内的周一至周五上午9:30--11:30，下午14:30--17:00（周五下午及法定节假日除外）携带</w:t>
      </w:r>
      <w:r>
        <w:rPr>
          <w:rFonts w:hint="eastAsia" w:ascii="仿宋" w:hAnsi="仿宋" w:eastAsia="仿宋" w:cs="仿宋"/>
          <w:b/>
          <w:bCs/>
          <w:color w:val="auto"/>
          <w:sz w:val="28"/>
          <w:szCs w:val="28"/>
          <w:highlight w:val="none"/>
          <w:u w:val="single"/>
          <w:lang w:val="en-US" w:eastAsia="zh-CN"/>
        </w:rPr>
        <w:t>竞投人身份资料</w:t>
      </w:r>
      <w:r>
        <w:rPr>
          <w:rFonts w:hint="eastAsia" w:ascii="仿宋" w:hAnsi="仿宋" w:eastAsia="仿宋" w:cs="仿宋"/>
          <w:b w:val="0"/>
          <w:bCs w:val="0"/>
          <w:color w:val="auto"/>
          <w:sz w:val="28"/>
          <w:szCs w:val="28"/>
          <w:highlight w:val="none"/>
          <w:u w:val="single"/>
          <w:lang w:val="en-US" w:eastAsia="zh-CN"/>
        </w:rPr>
        <w:t>以及项目业主单位要求提交的所有资料前往番禺区农村集体资产交易管理中心（下文简称：区交易中心）进行审核，资料审核无误后，审核通过，报名成功。</w:t>
      </w:r>
    </w:p>
    <w:p w14:paraId="19D6CB3A">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3.5.3关于现场报名审核时</w:t>
      </w:r>
      <w:r>
        <w:rPr>
          <w:rFonts w:hint="eastAsia" w:ascii="仿宋" w:hAnsi="仿宋" w:eastAsia="仿宋" w:cs="仿宋"/>
          <w:b/>
          <w:bCs/>
          <w:color w:val="auto"/>
          <w:sz w:val="28"/>
          <w:szCs w:val="28"/>
          <w:highlight w:val="none"/>
          <w:u w:val="single"/>
          <w:lang w:val="en-US" w:eastAsia="zh-CN"/>
        </w:rPr>
        <w:t>竞投人身份资料</w:t>
      </w:r>
      <w:r>
        <w:rPr>
          <w:rFonts w:hint="eastAsia" w:ascii="仿宋" w:hAnsi="仿宋" w:eastAsia="仿宋" w:cs="仿宋"/>
          <w:b w:val="0"/>
          <w:bCs w:val="0"/>
          <w:color w:val="auto"/>
          <w:sz w:val="28"/>
          <w:szCs w:val="28"/>
          <w:highlight w:val="none"/>
          <w:u w:val="single"/>
          <w:lang w:val="en-US" w:eastAsia="zh-CN"/>
        </w:rPr>
        <w:t>的说明：</w:t>
      </w:r>
    </w:p>
    <w:p w14:paraId="4A15C57D">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（1）完全民事行为能力的自然人须提供身份证复印件（原件备查）；</w:t>
      </w:r>
    </w:p>
    <w:p w14:paraId="5075792F">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（2）个体工商户经营者须携带公章，提供营业执照复印件（原件备查）、经营者身份证复印件（原件备查）；</w:t>
      </w:r>
    </w:p>
    <w:p w14:paraId="4574BD8F">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（3）农村承包经营户成员须提供农村承包经营权证复印件（原件备查）、承包成员身份证复印件（原件备查）；</w:t>
      </w:r>
    </w:p>
    <w:p w14:paraId="3B16E0CE">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（4）法人单位的法定代表人须携带公章，提供营业执照复印件（原件备查）、法定代表人身份证复印件（原件备查）；</w:t>
      </w:r>
    </w:p>
    <w:p w14:paraId="7A4CC72C">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5）非法人企业/组织的负责人（投资人或合伙人）须携带公章，提供非法人企业/组织登记证照复印件（原件备查）、负责人（投资人或合伙人）身份证复印件（原件备查），如是合伙企业还需提供执行事务合伙人证明书；</w:t>
      </w:r>
    </w:p>
    <w:p w14:paraId="2A4BC8F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（6）竞投人</w:t>
      </w:r>
      <w:r>
        <w:rPr>
          <w:rFonts w:hint="eastAsia" w:ascii="仿宋" w:hAnsi="仿宋" w:eastAsia="仿宋" w:cs="仿宋"/>
          <w:b/>
          <w:bCs/>
          <w:color w:val="auto"/>
          <w:sz w:val="28"/>
          <w:szCs w:val="28"/>
          <w:highlight w:val="none"/>
          <w:u w:val="single"/>
          <w:lang w:val="en-US" w:eastAsia="zh-CN"/>
        </w:rPr>
        <w:t>授权委托他人</w:t>
      </w:r>
      <w:r>
        <w:rPr>
          <w:rFonts w:hint="eastAsia" w:ascii="仿宋" w:hAnsi="仿宋" w:eastAsia="仿宋" w:cs="仿宋"/>
          <w:b w:val="0"/>
          <w:bCs w:val="0"/>
          <w:color w:val="auto"/>
          <w:sz w:val="28"/>
          <w:szCs w:val="28"/>
          <w:highlight w:val="none"/>
          <w:u w:val="single"/>
          <w:lang w:val="en-US" w:eastAsia="zh-CN"/>
        </w:rPr>
        <w:t>到区交易中心提交报名资料，</w:t>
      </w:r>
      <w:r>
        <w:rPr>
          <w:rFonts w:hint="eastAsia" w:ascii="仿宋" w:hAnsi="仿宋" w:eastAsia="仿宋" w:cs="仿宋"/>
          <w:b/>
          <w:bCs/>
          <w:color w:val="auto"/>
          <w:sz w:val="28"/>
          <w:szCs w:val="28"/>
          <w:highlight w:val="none"/>
          <w:u w:val="single"/>
          <w:lang w:val="en-US" w:eastAsia="zh-CN"/>
        </w:rPr>
        <w:t>受委托人</w:t>
      </w:r>
      <w:r>
        <w:rPr>
          <w:rFonts w:hint="eastAsia" w:ascii="仿宋" w:hAnsi="仿宋" w:eastAsia="仿宋" w:cs="仿宋"/>
          <w:b w:val="0"/>
          <w:bCs w:val="0"/>
          <w:color w:val="auto"/>
          <w:sz w:val="28"/>
          <w:szCs w:val="28"/>
          <w:highlight w:val="none"/>
          <w:u w:val="single"/>
          <w:lang w:val="en-US" w:eastAsia="zh-CN"/>
        </w:rPr>
        <w:t>须增加提供</w:t>
      </w:r>
      <w:r>
        <w:rPr>
          <w:rFonts w:hint="eastAsia" w:ascii="仿宋" w:hAnsi="仿宋" w:eastAsia="仿宋" w:cs="仿宋"/>
          <w:b/>
          <w:bCs/>
          <w:color w:val="auto"/>
          <w:sz w:val="28"/>
          <w:szCs w:val="28"/>
          <w:highlight w:val="none"/>
          <w:u w:val="single"/>
          <w:lang w:val="en-US" w:eastAsia="zh-CN"/>
        </w:rPr>
        <w:t>授权委托书原件及受委托人身份证复印件（原件备查）</w:t>
      </w:r>
      <w:r>
        <w:rPr>
          <w:rFonts w:hint="eastAsia" w:ascii="仿宋" w:hAnsi="仿宋" w:eastAsia="仿宋" w:cs="仿宋"/>
          <w:b w:val="0"/>
          <w:bCs w:val="0"/>
          <w:color w:val="auto"/>
          <w:sz w:val="28"/>
          <w:szCs w:val="28"/>
          <w:highlight w:val="none"/>
          <w:u w:val="single"/>
          <w:lang w:val="en-US" w:eastAsia="zh-CN"/>
        </w:rPr>
        <w:t>。</w:t>
      </w:r>
    </w:p>
    <w:p w14:paraId="68992AD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3.5.4其他说明</w:t>
      </w:r>
    </w:p>
    <w:p w14:paraId="2FD92DC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（1）</w:t>
      </w:r>
      <w:r>
        <w:rPr>
          <w:rFonts w:hint="eastAsia" w:ascii="仿宋" w:hAnsi="仿宋" w:eastAsia="仿宋" w:cs="仿宋"/>
          <w:color w:val="auto"/>
          <w:sz w:val="28"/>
          <w:szCs w:val="28"/>
          <w:highlight w:val="none"/>
          <w:u w:val="none"/>
        </w:rPr>
        <w:t>港、澳、台</w:t>
      </w:r>
      <w:r>
        <w:rPr>
          <w:rFonts w:hint="eastAsia" w:ascii="仿宋" w:hAnsi="仿宋" w:eastAsia="仿宋" w:cs="仿宋"/>
          <w:color w:val="auto"/>
          <w:sz w:val="28"/>
          <w:szCs w:val="28"/>
          <w:highlight w:val="none"/>
          <w:u w:val="none"/>
          <w:lang w:eastAsia="zh-CN"/>
        </w:rPr>
        <w:t>人士</w:t>
      </w:r>
      <w:r>
        <w:rPr>
          <w:rFonts w:hint="eastAsia" w:ascii="仿宋" w:hAnsi="仿宋" w:eastAsia="仿宋" w:cs="仿宋"/>
          <w:color w:val="auto"/>
          <w:sz w:val="28"/>
          <w:szCs w:val="28"/>
          <w:highlight w:val="none"/>
          <w:u w:val="none"/>
        </w:rPr>
        <w:t>，提供</w:t>
      </w:r>
      <w:r>
        <w:rPr>
          <w:rFonts w:hint="eastAsia" w:ascii="仿宋" w:hAnsi="仿宋" w:eastAsia="仿宋" w:cs="仿宋"/>
          <w:color w:val="auto"/>
          <w:sz w:val="28"/>
          <w:szCs w:val="28"/>
          <w:highlight w:val="none"/>
          <w:u w:val="none"/>
          <w:lang w:val="en-US" w:eastAsia="zh-CN"/>
        </w:rPr>
        <w:t>港澳居民来往内地通行证或港澳居民居住证或</w:t>
      </w:r>
      <w:r>
        <w:rPr>
          <w:rFonts w:hint="eastAsia" w:ascii="仿宋" w:hAnsi="仿宋" w:eastAsia="仿宋" w:cs="仿宋"/>
          <w:i w:val="0"/>
          <w:iCs w:val="0"/>
          <w:caps w:val="0"/>
          <w:color w:val="auto"/>
          <w:spacing w:val="0"/>
          <w:sz w:val="28"/>
          <w:szCs w:val="28"/>
          <w:highlight w:val="none"/>
          <w:u w:val="none"/>
          <w:shd w:val="clear" w:color="auto" w:fill="auto"/>
        </w:rPr>
        <w:t>台湾居民来往大陆通行证</w:t>
      </w:r>
      <w:r>
        <w:rPr>
          <w:rFonts w:hint="eastAsia" w:ascii="仿宋" w:hAnsi="仿宋" w:eastAsia="仿宋" w:cs="仿宋"/>
          <w:i w:val="0"/>
          <w:iCs w:val="0"/>
          <w:caps w:val="0"/>
          <w:color w:val="auto"/>
          <w:spacing w:val="0"/>
          <w:sz w:val="28"/>
          <w:szCs w:val="28"/>
          <w:highlight w:val="none"/>
          <w:u w:val="none"/>
          <w:shd w:val="clear" w:color="auto" w:fill="auto"/>
          <w:lang w:eastAsia="zh-CN"/>
        </w:rPr>
        <w:t>或台湾居民居住证等有效证件</w:t>
      </w:r>
      <w:r>
        <w:rPr>
          <w:rFonts w:hint="eastAsia" w:ascii="仿宋" w:hAnsi="仿宋" w:eastAsia="仿宋" w:cs="仿宋"/>
          <w:color w:val="auto"/>
          <w:sz w:val="28"/>
          <w:szCs w:val="28"/>
          <w:highlight w:val="none"/>
          <w:u w:val="none"/>
          <w:lang w:val="en-US" w:eastAsia="zh-CN"/>
        </w:rPr>
        <w:t>作为其身份证明；</w:t>
      </w:r>
    </w:p>
    <w:p w14:paraId="286ED43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b w:val="0"/>
          <w:bCs w:val="0"/>
          <w:color w:val="auto"/>
          <w:sz w:val="28"/>
          <w:szCs w:val="28"/>
          <w:highlight w:val="none"/>
          <w:u w:val="none"/>
          <w:lang w:val="en-US" w:eastAsia="zh-CN"/>
        </w:rPr>
        <w:t>（2）</w:t>
      </w:r>
      <w:r>
        <w:rPr>
          <w:rFonts w:hint="eastAsia" w:ascii="仿宋" w:hAnsi="仿宋" w:eastAsia="仿宋" w:cs="仿宋"/>
          <w:color w:val="auto"/>
          <w:sz w:val="28"/>
          <w:szCs w:val="28"/>
          <w:highlight w:val="none"/>
          <w:u w:val="none"/>
          <w:lang w:val="en-US" w:eastAsia="zh-CN"/>
        </w:rPr>
        <w:t>外籍自然人提供护照（提供公证处翻译件）或外国人永久居留身份证</w:t>
      </w:r>
      <w:r>
        <w:rPr>
          <w:rFonts w:hint="eastAsia" w:ascii="仿宋" w:hAnsi="仿宋" w:eastAsia="仿宋" w:cs="仿宋"/>
          <w:color w:val="auto"/>
          <w:sz w:val="28"/>
          <w:szCs w:val="28"/>
          <w:highlight w:val="none"/>
          <w:u w:val="none"/>
        </w:rPr>
        <w:t>作为</w:t>
      </w:r>
      <w:r>
        <w:rPr>
          <w:rFonts w:hint="eastAsia" w:ascii="仿宋" w:hAnsi="仿宋" w:eastAsia="仿宋" w:cs="仿宋"/>
          <w:color w:val="auto"/>
          <w:sz w:val="28"/>
          <w:szCs w:val="28"/>
          <w:highlight w:val="none"/>
          <w:u w:val="none"/>
          <w:lang w:val="en-US" w:eastAsia="zh-CN"/>
        </w:rPr>
        <w:t>其</w:t>
      </w:r>
      <w:r>
        <w:rPr>
          <w:rFonts w:hint="eastAsia" w:ascii="仿宋" w:hAnsi="仿宋" w:eastAsia="仿宋" w:cs="仿宋"/>
          <w:color w:val="auto"/>
          <w:sz w:val="28"/>
          <w:szCs w:val="28"/>
          <w:highlight w:val="none"/>
          <w:u w:val="none"/>
        </w:rPr>
        <w:t>身份证明</w:t>
      </w:r>
      <w:r>
        <w:rPr>
          <w:rFonts w:hint="eastAsia" w:ascii="仿宋" w:hAnsi="仿宋" w:eastAsia="仿宋" w:cs="仿宋"/>
          <w:color w:val="auto"/>
          <w:sz w:val="28"/>
          <w:szCs w:val="28"/>
          <w:highlight w:val="none"/>
          <w:u w:val="none"/>
          <w:lang w:eastAsia="zh-CN"/>
        </w:rPr>
        <w:t>；</w:t>
      </w:r>
    </w:p>
    <w:p w14:paraId="36BAF85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b w:val="0"/>
          <w:bCs w:val="0"/>
          <w:color w:val="auto"/>
          <w:sz w:val="28"/>
          <w:szCs w:val="28"/>
          <w:highlight w:val="none"/>
          <w:u w:val="none"/>
          <w:lang w:val="en-US" w:eastAsia="zh-CN"/>
        </w:rPr>
        <w:t>（3）</w:t>
      </w:r>
      <w:r>
        <w:rPr>
          <w:rFonts w:hint="eastAsia" w:ascii="仿宋" w:hAnsi="仿宋" w:eastAsia="仿宋" w:cs="仿宋"/>
          <w:color w:val="auto"/>
          <w:sz w:val="28"/>
          <w:szCs w:val="28"/>
          <w:highlight w:val="none"/>
          <w:u w:val="none"/>
          <w:lang w:eastAsia="zh-CN"/>
        </w:rPr>
        <w:t>上述证件原件核对后退回；</w:t>
      </w:r>
    </w:p>
    <w:p w14:paraId="5FBAA00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b w:val="0"/>
          <w:bCs w:val="0"/>
          <w:color w:val="auto"/>
          <w:sz w:val="28"/>
          <w:szCs w:val="28"/>
          <w:highlight w:val="none"/>
          <w:u w:val="none"/>
          <w:lang w:val="en-US" w:eastAsia="zh-CN"/>
        </w:rPr>
        <w:t>（4）</w:t>
      </w:r>
      <w:r>
        <w:rPr>
          <w:rFonts w:hint="eastAsia" w:ascii="仿宋" w:hAnsi="仿宋" w:eastAsia="仿宋" w:cs="仿宋"/>
          <w:color w:val="auto"/>
          <w:sz w:val="28"/>
          <w:szCs w:val="28"/>
          <w:highlight w:val="none"/>
          <w:u w:val="none"/>
          <w:lang w:val="en-US" w:eastAsia="zh-CN"/>
        </w:rPr>
        <w:t>上述</w:t>
      </w:r>
      <w:r>
        <w:rPr>
          <w:rFonts w:hint="eastAsia" w:ascii="仿宋" w:hAnsi="仿宋" w:eastAsia="仿宋" w:cs="仿宋"/>
          <w:color w:val="auto"/>
          <w:sz w:val="28"/>
          <w:szCs w:val="28"/>
          <w:highlight w:val="none"/>
          <w:u w:val="none"/>
          <w:lang w:eastAsia="zh-CN"/>
        </w:rPr>
        <w:t>授权委托书及证明原件不退回；</w:t>
      </w:r>
    </w:p>
    <w:p w14:paraId="10666029">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color w:val="auto"/>
          <w:highlight w:val="none"/>
          <w:lang w:val="en-US" w:eastAsia="zh-CN"/>
        </w:rPr>
      </w:pPr>
      <w:r>
        <w:rPr>
          <w:rFonts w:hint="eastAsia" w:ascii="仿宋" w:hAnsi="仿宋" w:eastAsia="仿宋" w:cs="仿宋"/>
          <w:color w:val="auto"/>
          <w:sz w:val="28"/>
          <w:szCs w:val="28"/>
          <w:highlight w:val="none"/>
          <w:u w:val="none"/>
          <w:lang w:val="en-US" w:eastAsia="zh-CN"/>
        </w:rPr>
        <w:t>（5）建议上述</w:t>
      </w:r>
      <w:r>
        <w:rPr>
          <w:rFonts w:hint="eastAsia" w:ascii="仿宋" w:hAnsi="仿宋" w:eastAsia="仿宋" w:cs="仿宋"/>
          <w:color w:val="auto"/>
          <w:sz w:val="28"/>
          <w:szCs w:val="28"/>
          <w:highlight w:val="none"/>
          <w:u w:val="none"/>
          <w:lang w:eastAsia="zh-CN"/>
        </w:rPr>
        <w:t>所有复印件均使用原件复印，避免因复印件不清晰导致无法办理现场报名审核手续</w:t>
      </w:r>
      <w:r>
        <w:rPr>
          <w:rFonts w:hint="eastAsia" w:ascii="仿宋" w:hAnsi="仿宋" w:eastAsia="仿宋" w:cs="仿宋"/>
          <w:color w:val="auto"/>
          <w:sz w:val="28"/>
          <w:szCs w:val="28"/>
          <w:highlight w:val="none"/>
          <w:u w:val="none"/>
        </w:rPr>
        <w:t>。报名审核现场不提供复印服务，请竞投人自行准备复印件，如因未准备复印件或复印件清晰度不足导致未能及时完成报名审核，由竞投人自行负责。</w:t>
      </w:r>
    </w:p>
    <w:p w14:paraId="5183CF40">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3.6</w:t>
      </w:r>
      <w:r>
        <w:rPr>
          <w:rFonts w:hint="eastAsia" w:ascii="仿宋" w:hAnsi="仿宋" w:eastAsia="仿宋" w:cs="仿宋"/>
          <w:b/>
          <w:bCs/>
          <w:color w:val="auto"/>
          <w:sz w:val="28"/>
          <w:szCs w:val="28"/>
          <w:highlight w:val="none"/>
          <w:u w:val="single"/>
          <w:lang w:val="en-US" w:eastAsia="zh-CN"/>
        </w:rPr>
        <w:t>重要提示：</w:t>
      </w:r>
      <w:r>
        <w:rPr>
          <w:rFonts w:hint="eastAsia" w:ascii="仿宋" w:hAnsi="仿宋" w:eastAsia="仿宋" w:cs="仿宋"/>
          <w:b w:val="0"/>
          <w:bCs w:val="0"/>
          <w:color w:val="auto"/>
          <w:sz w:val="28"/>
          <w:szCs w:val="28"/>
          <w:highlight w:val="none"/>
          <w:u w:val="single"/>
          <w:lang w:val="en-US" w:eastAsia="zh-CN"/>
        </w:rPr>
        <w:t>报名系统自动在报名截止时间关闭，竞投人报名及交易服务机构后台审核功能同步关闭。因此请竞投人务必合理预留报名所需的资料填写、资格审核等时间，否则因报名系统依时关闭而影响报名及后台审核而导致报名不成功的后果由竞投人自负。</w:t>
      </w:r>
    </w:p>
    <w:p w14:paraId="6A0F5D04">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网上</w:t>
      </w:r>
      <w:r>
        <w:rPr>
          <w:rFonts w:hint="eastAsia" w:ascii="黑体" w:hAnsi="黑体" w:eastAsia="黑体" w:cs="黑体"/>
          <w:b w:val="0"/>
          <w:bCs w:val="0"/>
          <w:color w:val="auto"/>
          <w:sz w:val="28"/>
          <w:szCs w:val="28"/>
          <w:highlight w:val="none"/>
          <w:u w:val="none"/>
          <w:lang w:val="en-US" w:eastAsia="zh-CN"/>
        </w:rPr>
        <w:t xml:space="preserve">竞投规则 </w:t>
      </w:r>
    </w:p>
    <w:p w14:paraId="33FF5FA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auto"/>
          <w:sz w:val="28"/>
          <w:szCs w:val="28"/>
          <w:highlight w:val="none"/>
          <w:u w:val="none"/>
        </w:rPr>
      </w:pPr>
      <w:r>
        <w:rPr>
          <w:rFonts w:hint="eastAsia" w:ascii="仿宋" w:hAnsi="仿宋" w:eastAsia="仿宋" w:cs="仿宋"/>
          <w:strike w:val="0"/>
          <w:dstrike w:val="0"/>
          <w:color w:val="auto"/>
          <w:sz w:val="28"/>
          <w:szCs w:val="28"/>
          <w:highlight w:val="none"/>
          <w:u w:val="none"/>
          <w:lang w:val="en-US" w:eastAsia="zh-CN"/>
        </w:rPr>
        <w:t>竞投原则：竞投工作根据法律、法规、规章及政府规范性文件相关规定，遵循“公开、公平、公正”的原则进行。公开报价，价高者得</w:t>
      </w:r>
      <w:r>
        <w:rPr>
          <w:rFonts w:hint="eastAsia" w:ascii="仿宋" w:hAnsi="仿宋" w:eastAsia="仿宋" w:cs="仿宋"/>
          <w:strike w:val="0"/>
          <w:dstrike w:val="0"/>
          <w:color w:val="auto"/>
          <w:sz w:val="28"/>
          <w:szCs w:val="28"/>
          <w:highlight w:val="none"/>
          <w:u w:val="none"/>
        </w:rPr>
        <w:t xml:space="preserve">。 </w:t>
      </w:r>
    </w:p>
    <w:p w14:paraId="55DADA6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auto"/>
          <w:sz w:val="28"/>
          <w:szCs w:val="28"/>
          <w:highlight w:val="none"/>
          <w:u w:val="none"/>
          <w:lang w:val="en-US" w:eastAsia="zh-CN"/>
        </w:rPr>
      </w:pPr>
      <w:r>
        <w:rPr>
          <w:rFonts w:hint="eastAsia" w:ascii="仿宋" w:hAnsi="仿宋" w:eastAsia="仿宋" w:cs="仿宋"/>
          <w:strike/>
          <w:dstrike w:val="0"/>
          <w:color w:val="auto"/>
          <w:sz w:val="28"/>
          <w:szCs w:val="28"/>
          <w:highlight w:val="none"/>
          <w:u w:val="none"/>
          <w:lang w:val="en-US" w:eastAsia="zh-CN"/>
        </w:rPr>
        <w:t>4</w:t>
      </w:r>
      <w:r>
        <w:rPr>
          <w:rFonts w:hint="eastAsia" w:ascii="仿宋" w:hAnsi="仿宋" w:eastAsia="仿宋" w:cs="仿宋"/>
          <w:strike w:val="0"/>
          <w:dstrike w:val="0"/>
          <w:color w:val="auto"/>
          <w:sz w:val="28"/>
          <w:szCs w:val="28"/>
          <w:highlight w:val="none"/>
          <w:u w:val="none"/>
          <w:lang w:val="en-US" w:eastAsia="zh-CN"/>
        </w:rPr>
        <w:t>.1竞价系统提示竞价活动开始后，所有竞投人都可以按照本项目的竞价规则进行报价。第一位报价的竞投人可以报出交易底价，也可以直接报出高于交易底价的价格，但高出交易底价的部分必须为最小加价金额的整数倍，且不可高出最高加价金额，方为有效报价。从第二位报价的竞投人开始，竞投人报出的价格都必须高于前一位竞投人报出的有效价格，且高出部分的价格必须为最小加价金额的整数倍，且不可高出最高加价金额，方为有效报价。</w:t>
      </w:r>
    </w:p>
    <w:p w14:paraId="7D32A43A">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auto"/>
          <w:sz w:val="28"/>
          <w:szCs w:val="28"/>
          <w:highlight w:val="none"/>
          <w:u w:val="none"/>
          <w:lang w:val="en-US" w:eastAsia="zh-CN"/>
        </w:rPr>
      </w:pPr>
      <w:r>
        <w:rPr>
          <w:rFonts w:hint="eastAsia" w:ascii="仿宋" w:hAnsi="仿宋" w:eastAsia="仿宋" w:cs="仿宋"/>
          <w:strike w:val="0"/>
          <w:dstrike w:val="0"/>
          <w:color w:val="auto"/>
          <w:sz w:val="28"/>
          <w:szCs w:val="28"/>
          <w:highlight w:val="none"/>
          <w:u w:val="none"/>
          <w:lang w:val="en-US" w:eastAsia="zh-CN"/>
        </w:rPr>
        <w:t>4.2竞投人一旦报价有效时，前一次报价的竞投人报出的价格则自动默认为“非最高价”，以此类推。所有竞投人均可以多次报价，直至无其他竞投人再报价，最后一次有效报价的竞投人最后一次报出的有效价格则为本项目最高价。</w:t>
      </w:r>
    </w:p>
    <w:p w14:paraId="1EE00B6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auto"/>
          <w:sz w:val="28"/>
          <w:szCs w:val="28"/>
          <w:highlight w:val="none"/>
          <w:u w:val="none"/>
          <w:lang w:val="en-US" w:eastAsia="zh-CN"/>
        </w:rPr>
      </w:pPr>
      <w:r>
        <w:rPr>
          <w:rFonts w:hint="eastAsia" w:ascii="仿宋" w:hAnsi="仿宋" w:eastAsia="仿宋" w:cs="仿宋"/>
          <w:strike w:val="0"/>
          <w:dstrike w:val="0"/>
          <w:color w:val="auto"/>
          <w:sz w:val="28"/>
          <w:szCs w:val="28"/>
          <w:highlight w:val="none"/>
          <w:u w:val="none"/>
          <w:lang w:val="en-US" w:eastAsia="zh-CN"/>
        </w:rPr>
        <w:t>4.3竞价系统提示竞价活动开始后，开始 30 分钟的倒计时，倒计时结束时，本项目的所有竞投人都未按时登陆系统或都无有效报价的，本项目竞价失败，各竞投人按照本须知</w:t>
      </w:r>
      <w:r>
        <w:rPr>
          <w:rFonts w:hint="eastAsia" w:ascii="仿宋" w:hAnsi="仿宋" w:eastAsia="仿宋" w:cs="仿宋"/>
          <w:b/>
          <w:bCs/>
          <w:strike w:val="0"/>
          <w:dstrike w:val="0"/>
          <w:color w:val="auto"/>
          <w:sz w:val="28"/>
          <w:szCs w:val="28"/>
          <w:highlight w:val="none"/>
          <w:u w:val="none"/>
          <w:lang w:val="en-US" w:eastAsia="zh-CN"/>
        </w:rPr>
        <w:t>“违约违规责任”</w:t>
      </w:r>
      <w:r>
        <w:rPr>
          <w:rFonts w:hint="eastAsia" w:ascii="仿宋" w:hAnsi="仿宋" w:eastAsia="仿宋" w:cs="仿宋"/>
          <w:strike w:val="0"/>
          <w:dstrike w:val="0"/>
          <w:color w:val="auto"/>
          <w:sz w:val="28"/>
          <w:szCs w:val="28"/>
          <w:highlight w:val="none"/>
          <w:u w:val="none"/>
          <w:lang w:val="en-US" w:eastAsia="zh-CN"/>
        </w:rPr>
        <w:t>的相关条款承担违约责任。</w:t>
      </w:r>
    </w:p>
    <w:p w14:paraId="6F4B7A0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auto"/>
          <w:sz w:val="28"/>
          <w:szCs w:val="28"/>
          <w:highlight w:val="none"/>
          <w:u w:val="none"/>
          <w:lang w:val="en-US" w:eastAsia="zh-CN"/>
        </w:rPr>
      </w:pPr>
      <w:r>
        <w:rPr>
          <w:rFonts w:hint="eastAsia" w:ascii="仿宋" w:hAnsi="仿宋" w:eastAsia="仿宋" w:cs="仿宋"/>
          <w:strike w:val="0"/>
          <w:dstrike w:val="0"/>
          <w:color w:val="auto"/>
          <w:sz w:val="28"/>
          <w:szCs w:val="28"/>
          <w:highlight w:val="none"/>
          <w:u w:val="none"/>
          <w:lang w:val="en-US" w:eastAsia="zh-CN"/>
        </w:rPr>
        <w:t>4.4在竞投开始至 30 分钟倒计时结束前，竞投人都可出价。在倒计时剩余时间小于 3 分钟时，一旦有竞投人报出新的有效报价，竞价系统将自动延时，重新进行 3 分钟倒计时，其他竞投人可以继续报价，但必须在 3 分钟倒计时结束前进行报价，一旦有新的有效报价，竞价系统将重新自动进行 3 分钟倒计时，循环往复至 3 分钟倒计时内无其他竞投人报出有效报价，最后一次有效报价则为最高价，报出该价格的竞投人为竞得人。</w:t>
      </w:r>
    </w:p>
    <w:p w14:paraId="461B9B8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auto"/>
          <w:sz w:val="28"/>
          <w:szCs w:val="28"/>
          <w:highlight w:val="none"/>
          <w:u w:val="none"/>
          <w:lang w:val="en-US" w:eastAsia="zh-CN"/>
        </w:rPr>
      </w:pPr>
      <w:r>
        <w:rPr>
          <w:rFonts w:hint="eastAsia" w:ascii="仿宋" w:hAnsi="仿宋" w:eastAsia="仿宋" w:cs="仿宋"/>
          <w:strike w:val="0"/>
          <w:dstrike w:val="0"/>
          <w:color w:val="auto"/>
          <w:sz w:val="28"/>
          <w:szCs w:val="28"/>
          <w:highlight w:val="none"/>
          <w:u w:val="none"/>
          <w:lang w:val="en-US" w:eastAsia="zh-CN"/>
        </w:rPr>
        <w:t>4.5享有本项目法定优先承租权或依约优先承租权的人员、单位的，必须报名参与竞投，且在本项目交易报名结束前向交易服务机构（项目交易组织方）提交有效证明，并经确认后方能在项目竞价中主张优先承租权，未报名参与交易或逾期不提交相关有效证明资料的，视为放弃对本项目的优先承租权。</w:t>
      </w:r>
    </w:p>
    <w:p w14:paraId="68C960BC">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color w:val="auto"/>
          <w:highlight w:val="none"/>
          <w:lang w:val="en-US" w:eastAsia="zh-CN"/>
        </w:rPr>
      </w:pPr>
      <w:r>
        <w:rPr>
          <w:rFonts w:hint="eastAsia" w:ascii="仿宋" w:hAnsi="仿宋" w:eastAsia="仿宋" w:cs="仿宋"/>
          <w:strike w:val="0"/>
          <w:dstrike w:val="0"/>
          <w:color w:val="auto"/>
          <w:sz w:val="28"/>
          <w:szCs w:val="28"/>
          <w:highlight w:val="none"/>
          <w:u w:val="none"/>
          <w:lang w:val="en-US" w:eastAsia="zh-CN"/>
        </w:rPr>
        <w:t>4.6已确认本项目享有优先承租权的竞投人，在竞价期间，可以通过竞价系统的“使用优先权出价”功能（按钮）主张优先权出价。享有承租优先权的竞投人主张优先权后，竞价系统默认该竞投人以上一位报价人报出的有效价格作为其主张优先权有效报价，在竞价结束前如无其他竞投人再报出有效价格的，主张优先权的竞投人则以该报价竞得该项目。享有优先承租权的竞投人主张优先权后，其他竞投人可以继续报价，一旦有其他竞投人继续报出有效价格的，享有优先承租权的竞投人之前主张的优先权则失效，但享有优先承租权的竞投人可以继续以其他竞投人最新的报价主张优先权，直至产生竞得人。享有优先承租权的竞投人在竞投期间主张优先权的，必须通过竞价系统的“使用优先权出价”功能（按钮）提出，无通过竞价系统的“使用优先权出价”功能（按钮）提出或通过其他方式提出的，视为在项目竞投中放弃优先承租权。同时存在 2 个以上（含 2 个）享有优先承租权的竞投人主张优先权的，且以主张优先权时的价格成交的，将通过线下摇号方式确定竞得人。</w:t>
      </w:r>
    </w:p>
    <w:p w14:paraId="15CD5E43">
      <w:pPr>
        <w:keepNext w:val="0"/>
        <w:keepLines w:val="0"/>
        <w:pageBreakBefore w:val="0"/>
        <w:shd w:val="clear" w:color="auto" w:fill="auto"/>
        <w:kinsoku/>
        <w:overflowPunct/>
        <w:topLinePunct w:val="0"/>
        <w:autoSpaceDE/>
        <w:autoSpaceDN/>
        <w:bidi w:val="0"/>
        <w:adjustRightInd/>
        <w:snapToGrid/>
        <w:spacing w:line="440" w:lineRule="exact"/>
        <w:ind w:firstLine="560" w:firstLineChars="200"/>
        <w:textAlignment w:val="auto"/>
        <w:rPr>
          <w:rFonts w:hint="eastAsia"/>
          <w:strike w:val="0"/>
          <w:dstrike w:val="0"/>
          <w:color w:val="auto"/>
          <w:highlight w:val="none"/>
          <w:lang w:val="en-US" w:eastAsia="zh-CN"/>
        </w:rPr>
      </w:pPr>
      <w:r>
        <w:rPr>
          <w:rFonts w:hint="eastAsia" w:ascii="仿宋" w:hAnsi="仿宋" w:eastAsia="仿宋" w:cs="仿宋"/>
          <w:strike w:val="0"/>
          <w:dstrike w:val="0"/>
          <w:color w:val="auto"/>
          <w:sz w:val="28"/>
          <w:szCs w:val="28"/>
          <w:highlight w:val="none"/>
          <w:u w:val="none"/>
          <w:lang w:val="en-US" w:eastAsia="zh-CN"/>
        </w:rPr>
        <w:t>4.7其他规定：</w:t>
      </w:r>
    </w:p>
    <w:p w14:paraId="5C60525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auto"/>
          <w:sz w:val="28"/>
          <w:szCs w:val="28"/>
          <w:highlight w:val="none"/>
          <w:u w:val="none"/>
          <w:lang w:val="en-US" w:eastAsia="zh-CN"/>
        </w:rPr>
      </w:pPr>
      <w:r>
        <w:rPr>
          <w:rFonts w:hint="eastAsia" w:ascii="仿宋" w:hAnsi="仿宋" w:eastAsia="仿宋" w:cs="仿宋"/>
          <w:strike w:val="0"/>
          <w:dstrike w:val="0"/>
          <w:color w:val="auto"/>
          <w:kern w:val="2"/>
          <w:sz w:val="28"/>
          <w:szCs w:val="28"/>
          <w:highlight w:val="none"/>
          <w:u w:val="none"/>
          <w:lang w:val="en-US" w:eastAsia="zh-CN" w:bidi="ar-SA"/>
        </w:rPr>
        <w:t>4.7.1网上竞投开始前，网上交易平台为竞投人随机分配竞投号，竞投人以竞投号参与竞投</w:t>
      </w:r>
      <w:r>
        <w:rPr>
          <w:rFonts w:hint="eastAsia" w:ascii="仿宋" w:hAnsi="仿宋" w:eastAsia="仿宋" w:cs="仿宋"/>
          <w:strike w:val="0"/>
          <w:dstrike w:val="0"/>
          <w:color w:val="auto"/>
          <w:sz w:val="28"/>
          <w:szCs w:val="28"/>
          <w:highlight w:val="none"/>
          <w:u w:val="none"/>
          <w:lang w:val="en-US" w:eastAsia="zh-CN"/>
        </w:rPr>
        <w:t>，竞投人姓名等信息不对其他竞投人、监督人员公开；竞价活动结束后，竞价系统向所有竞投人和监督人员公开竞投人姓名等信息。</w:t>
      </w:r>
    </w:p>
    <w:p w14:paraId="630A6BB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auto"/>
          <w:sz w:val="28"/>
          <w:szCs w:val="28"/>
          <w:highlight w:val="none"/>
          <w:u w:val="none"/>
          <w:lang w:val="en-US" w:eastAsia="zh-CN"/>
        </w:rPr>
      </w:pPr>
      <w:r>
        <w:rPr>
          <w:rFonts w:hint="eastAsia" w:ascii="仿宋" w:hAnsi="仿宋" w:eastAsia="仿宋" w:cs="仿宋"/>
          <w:strike w:val="0"/>
          <w:dstrike w:val="0"/>
          <w:color w:val="auto"/>
          <w:sz w:val="28"/>
          <w:szCs w:val="28"/>
          <w:highlight w:val="none"/>
          <w:u w:val="none"/>
          <w:lang w:val="en-US" w:eastAsia="zh-CN"/>
        </w:rPr>
        <w:t>4.7.2竞投人在出价须前认真核对出价金额，一旦出价，不予撤销，否则所交交易保证金将按照本须知</w:t>
      </w:r>
      <w:r>
        <w:rPr>
          <w:rFonts w:hint="eastAsia" w:ascii="仿宋" w:hAnsi="仿宋" w:eastAsia="仿宋" w:cs="仿宋"/>
          <w:b/>
          <w:bCs/>
          <w:strike w:val="0"/>
          <w:dstrike w:val="0"/>
          <w:color w:val="auto"/>
          <w:sz w:val="28"/>
          <w:szCs w:val="28"/>
          <w:highlight w:val="none"/>
          <w:u w:val="none"/>
          <w:lang w:val="en-US" w:eastAsia="zh-CN"/>
        </w:rPr>
        <w:t>“违约违规责任”</w:t>
      </w:r>
      <w:r>
        <w:rPr>
          <w:rFonts w:hint="eastAsia" w:ascii="仿宋" w:hAnsi="仿宋" w:eastAsia="仿宋" w:cs="仿宋"/>
          <w:strike w:val="0"/>
          <w:dstrike w:val="0"/>
          <w:color w:val="auto"/>
          <w:sz w:val="28"/>
          <w:szCs w:val="28"/>
          <w:highlight w:val="none"/>
          <w:u w:val="none"/>
          <w:lang w:val="en-US" w:eastAsia="zh-CN"/>
        </w:rPr>
        <w:t>的相关条款处理。</w:t>
      </w:r>
    </w:p>
    <w:p w14:paraId="65E8ABB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trike w:val="0"/>
          <w:dstrike w:val="0"/>
          <w:color w:val="auto"/>
          <w:kern w:val="2"/>
          <w:sz w:val="28"/>
          <w:szCs w:val="28"/>
          <w:highlight w:val="none"/>
          <w:u w:val="none"/>
          <w:lang w:val="en-US" w:eastAsia="zh-CN" w:bidi="ar-SA"/>
        </w:rPr>
      </w:pPr>
      <w:r>
        <w:rPr>
          <w:rFonts w:hint="eastAsia" w:ascii="仿宋" w:hAnsi="仿宋" w:eastAsia="仿宋" w:cs="仿宋"/>
          <w:strike w:val="0"/>
          <w:dstrike w:val="0"/>
          <w:color w:val="auto"/>
          <w:sz w:val="28"/>
          <w:szCs w:val="28"/>
          <w:highlight w:val="none"/>
          <w:u w:val="none"/>
          <w:lang w:val="en-US" w:eastAsia="zh-CN"/>
        </w:rPr>
        <w:t>4.7.3农村集体资产进行网上交易时，街道交易管理机构应当组织监督小组登录广州市番禺区集体经济组织三资管理平台（网址地址：http://nclqyj.panyu.gd.cn:8026/）的【网上竞投】模块内每个项目的展示窗见证监督。监督小组人数在4名以上，成员由经济联社领导班子成员或经济社理事会、监事会及街道交易管理机构、监察站成员组成。</w:t>
      </w:r>
    </w:p>
    <w:p w14:paraId="700D94E4">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strike w:val="0"/>
          <w:dstrike w:val="0"/>
          <w:color w:val="auto"/>
          <w:sz w:val="28"/>
          <w:szCs w:val="28"/>
          <w:highlight w:val="none"/>
          <w:u w:val="none"/>
          <w:lang w:val="en-US" w:eastAsia="zh-CN"/>
        </w:rPr>
        <w:t>4.7.4竞投按项目公告规定时间开始，特殊情况下经项目业主单位、镇（街）相关管理部门和区交易中心三方</w:t>
      </w:r>
      <w:r>
        <w:rPr>
          <w:rFonts w:hint="eastAsia" w:ascii="仿宋" w:hAnsi="仿宋" w:eastAsia="仿宋" w:cs="仿宋"/>
          <w:strike w:val="0"/>
          <w:dstrike w:val="0"/>
          <w:color w:val="auto"/>
          <w:kern w:val="2"/>
          <w:sz w:val="28"/>
          <w:szCs w:val="28"/>
          <w:highlight w:val="none"/>
          <w:u w:val="none"/>
          <w:lang w:val="en-US" w:eastAsia="zh-CN" w:bidi="ar-SA"/>
        </w:rPr>
        <w:t>一致同意，可适当延后竞投开始时间（竞投人报到时间不作顺延），各竞投人应予理解和配合。</w:t>
      </w:r>
    </w:p>
    <w:p w14:paraId="0D93364F">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网上</w:t>
      </w:r>
      <w:r>
        <w:rPr>
          <w:rFonts w:hint="eastAsia" w:ascii="黑体" w:hAnsi="黑体" w:eastAsia="黑体" w:cs="黑体"/>
          <w:b w:val="0"/>
          <w:bCs w:val="0"/>
          <w:color w:val="auto"/>
          <w:sz w:val="28"/>
          <w:szCs w:val="28"/>
          <w:highlight w:val="none"/>
          <w:u w:val="none"/>
          <w:lang w:val="en-US" w:eastAsia="zh-CN"/>
        </w:rPr>
        <w:t xml:space="preserve">交易确认 </w:t>
      </w:r>
    </w:p>
    <w:p w14:paraId="2A259DC8">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5.1最后出价的竞投人，需在竞投结束后2个工作日内携带相关资料到区交易中心签订《番禺区农村集体资产交易成交确认书》（下文简称《成交确认书》），受理时间：周一至周五上午9:30--11:30，下午14:30--17:00（周五下午及法定节假日除外），未在规定时间内携带相关资料到区交易中心签订交易成交确认书的视为自动放弃竞得资格，其交纳的交易保证金由区交易中心按公告约定一次性全额转给项目业主单位，由项目业主单位全权予以处理。</w:t>
      </w:r>
    </w:p>
    <w:p w14:paraId="07112F39">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5.2.竞投人签订《成交确认书》，须鞋带以下相应资料：</w:t>
      </w:r>
    </w:p>
    <w:p w14:paraId="39E82DFB">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（1）完全民事行为能力的自然人须提供身份证</w:t>
      </w:r>
      <w:r>
        <w:rPr>
          <w:rFonts w:hint="eastAsia" w:ascii="仿宋" w:hAnsi="仿宋" w:eastAsia="仿宋" w:cs="仿宋"/>
          <w:b/>
          <w:bCs/>
          <w:color w:val="auto"/>
          <w:sz w:val="28"/>
          <w:szCs w:val="28"/>
          <w:highlight w:val="none"/>
          <w:u w:val="single"/>
          <w:lang w:val="en-US" w:eastAsia="zh-CN"/>
        </w:rPr>
        <w:t>原件</w:t>
      </w:r>
      <w:r>
        <w:rPr>
          <w:rFonts w:hint="eastAsia" w:ascii="仿宋" w:hAnsi="仿宋" w:eastAsia="仿宋" w:cs="仿宋"/>
          <w:b w:val="0"/>
          <w:bCs w:val="0"/>
          <w:color w:val="auto"/>
          <w:sz w:val="28"/>
          <w:szCs w:val="28"/>
          <w:highlight w:val="none"/>
          <w:u w:val="single"/>
          <w:lang w:val="en-US" w:eastAsia="zh-CN"/>
        </w:rPr>
        <w:t>；</w:t>
      </w:r>
    </w:p>
    <w:p w14:paraId="62344831">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（2）个体工商户经营者须携带公章，提供营业执照原件、经营者身份证原件；</w:t>
      </w:r>
    </w:p>
    <w:p w14:paraId="34FDF412">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（3）农村承包经营户成员须提供农村承包经营权证原件、承包成员身份证原件；</w:t>
      </w:r>
    </w:p>
    <w:p w14:paraId="467D81EA">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（4）法人单位的法定代表人须携带公章，提供营业执照原件、法定代表人身份证原件；</w:t>
      </w:r>
    </w:p>
    <w:p w14:paraId="3C5AE53E">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（5）非法人企业/组织的负责人（投资人或合伙人）须携带公章，提供非法人企业/组织登记证照原件、负责人（投资人或合伙人）身份证原件，如是合伙企业还需提供执行事务合伙人证明书；</w:t>
      </w:r>
    </w:p>
    <w:p w14:paraId="4B126B0D">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（6）竞投人授权委托他人签订成交确认书，受委托人须增加提供授权委托书原件及受委托人身份证</w:t>
      </w:r>
      <w:r>
        <w:rPr>
          <w:rFonts w:hint="eastAsia" w:ascii="仿宋" w:hAnsi="仿宋" w:eastAsia="仿宋" w:cs="仿宋"/>
          <w:b/>
          <w:bCs/>
          <w:color w:val="auto"/>
          <w:sz w:val="28"/>
          <w:szCs w:val="28"/>
          <w:highlight w:val="none"/>
          <w:u w:val="single"/>
          <w:lang w:val="en-US" w:eastAsia="zh-CN"/>
        </w:rPr>
        <w:t>复印件（原件备查）</w:t>
      </w:r>
      <w:r>
        <w:rPr>
          <w:rFonts w:hint="eastAsia" w:ascii="仿宋" w:hAnsi="仿宋" w:eastAsia="仿宋" w:cs="仿宋"/>
          <w:b w:val="0"/>
          <w:bCs w:val="0"/>
          <w:color w:val="auto"/>
          <w:sz w:val="28"/>
          <w:szCs w:val="28"/>
          <w:highlight w:val="none"/>
          <w:u w:val="single"/>
          <w:lang w:val="en-US" w:eastAsia="zh-CN"/>
        </w:rPr>
        <w:t>。</w:t>
      </w:r>
    </w:p>
    <w:p w14:paraId="3A628286">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注：授权委托书中的委托权限应当注明签订《成交确认书》等具体委托事项，受委托人实施一切代理行为所产生的全部后果及责任，由委托人承担。  </w:t>
      </w:r>
    </w:p>
    <w:p w14:paraId="73A9BC85">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网上</w:t>
      </w:r>
      <w:r>
        <w:rPr>
          <w:rFonts w:hint="eastAsia" w:ascii="黑体" w:hAnsi="黑体" w:eastAsia="黑体" w:cs="黑体"/>
          <w:b w:val="0"/>
          <w:bCs w:val="0"/>
          <w:color w:val="auto"/>
          <w:sz w:val="28"/>
          <w:szCs w:val="28"/>
          <w:highlight w:val="none"/>
          <w:u w:val="none"/>
          <w:lang w:val="en-US" w:eastAsia="zh-CN"/>
        </w:rPr>
        <w:t xml:space="preserve">交易结果公示及合同签订 </w:t>
      </w:r>
    </w:p>
    <w:p w14:paraId="5DF641FD">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 xml:space="preserve">6.1竞投确认后，本项目交易结果将在项目业主单位所在地的公开栏、广州市番禺区集体经济组织三资管理平台（http://nclqyj.panyu.gd.cn/，若有调整，以最新地址为准)公示 5 个工作日，公示期间如对交易程序或竞得人资质资格有异议的，请向区交易中心反映。反映情况必须以实名的方式提供书面材料，并留联系电话和通讯地址；以单位名义反映的，反映材料应加盖单位公章。 </w:t>
      </w:r>
    </w:p>
    <w:p w14:paraId="5E55D775">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6.2签订合同时间：在交易结果公示期间，如无人提出异议或投诉的，除特殊情况外，竞得人及项目业主单位应在公示结束后5个工作日内在项目业主单位指定的场所签订合同；如有人对交易程序或竞得人资质资格提出异议或投诉的，待异议或投诉事项处理完毕后，再根据处理结果确定是否签订合同及签订合同的具体时间（具备签订合同条件的，在处理完毕后5个工作日内签订合同）。</w:t>
      </w:r>
    </w:p>
    <w:p w14:paraId="0E1B8613">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u w:val="single"/>
          <w:lang w:val="en-US" w:eastAsia="zh-CN"/>
        </w:rPr>
        <w:t>6.3《成交确认书》为签订合同的重要依据之一，是合同的一个组成部分，竞得人应按成交确认书指定的时间、地点与项目业主单位签订合同。签订合同时，竞得人需出示《成交确认书》。因竞得人原因逾期不签订合同又未办理延期签合同申请的，按“竞得人被取消竞得资格”处理，并由项目业主单位收回项目，竞得人已交纳的交易保证金不予退还。</w:t>
      </w:r>
    </w:p>
    <w:p w14:paraId="68C3D74A">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default"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交易保证金转账及处理须知</w:t>
      </w:r>
    </w:p>
    <w:p w14:paraId="0E099F3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7.1</w:t>
      </w:r>
      <w:r>
        <w:rPr>
          <w:rFonts w:hint="eastAsia" w:ascii="仿宋" w:hAnsi="仿宋" w:eastAsia="仿宋" w:cs="仿宋"/>
          <w:color w:val="auto"/>
          <w:kern w:val="2"/>
          <w:sz w:val="28"/>
          <w:szCs w:val="28"/>
          <w:highlight w:val="none"/>
          <w:u w:val="none"/>
          <w:lang w:val="en-US" w:eastAsia="zh-CN" w:bidi="ar-SA"/>
        </w:rPr>
        <w:t>交易保证金用于避免有关交易因竞投人的行为使项目业主单位遭受损失，是竞投人承诺依约履行交易规则的担保。交易保证金为资格文件的组成部分之一</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eastAsia="zh-CN"/>
        </w:rPr>
        <w:t>区交易</w:t>
      </w:r>
      <w:r>
        <w:rPr>
          <w:rFonts w:hint="eastAsia" w:ascii="仿宋" w:hAnsi="仿宋" w:eastAsia="仿宋" w:cs="仿宋"/>
          <w:color w:val="auto"/>
          <w:sz w:val="28"/>
          <w:szCs w:val="28"/>
          <w:highlight w:val="none"/>
          <w:u w:val="none"/>
        </w:rPr>
        <w:t>中心为确保整个交易工作的“公开、公平、公正”，受项目业主单位的委托，向各竞投人代收本项目的交易保证金，待本项目交易结束后，根据交易保证金的处理规则进行处理；竞投人交纳的交易保证金产生的权利和义务全部由项目业主单位承担；竞投人对交易保证金处理有异议的应与项目业主单位协商沟通解决</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kern w:val="2"/>
          <w:sz w:val="28"/>
          <w:szCs w:val="28"/>
          <w:highlight w:val="none"/>
          <w:u w:val="none"/>
          <w:lang w:val="en-US" w:eastAsia="zh-CN" w:bidi="ar-SA"/>
        </w:rPr>
        <w:t>区交易中心对竞投人与项目业主单位因交易保证金事宜产生的一切纠纷不承担任何责任</w:t>
      </w:r>
      <w:r>
        <w:rPr>
          <w:rFonts w:hint="eastAsia" w:ascii="仿宋" w:hAnsi="仿宋" w:eastAsia="仿宋" w:cs="仿宋"/>
          <w:color w:val="auto"/>
          <w:sz w:val="28"/>
          <w:szCs w:val="28"/>
          <w:highlight w:val="none"/>
          <w:u w:val="none"/>
        </w:rPr>
        <w:t>。</w:t>
      </w:r>
    </w:p>
    <w:p w14:paraId="6F79C852">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7.2交易保证金须在指定时间内实名到账才能有效，以银行到账时间为准，如因跨行转账所产生的延迟到账问题由竞投人承担后果。</w:t>
      </w:r>
    </w:p>
    <w:p w14:paraId="0AF53460">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7.3各竞投人必须确保转账的银行账户能正常使用，否则因此造成的损失或责任由竞投人承担。</w:t>
      </w:r>
    </w:p>
    <w:p w14:paraId="3803D7C7">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7.4</w:t>
      </w:r>
      <w:r>
        <w:rPr>
          <w:rFonts w:hint="eastAsia" w:ascii="仿宋" w:hAnsi="仿宋" w:eastAsia="仿宋" w:cs="仿宋"/>
          <w:color w:val="auto"/>
          <w:sz w:val="28"/>
          <w:szCs w:val="28"/>
          <w:highlight w:val="none"/>
          <w:u w:val="single"/>
        </w:rPr>
        <w:t>交易保证金处理规则</w:t>
      </w:r>
      <w:r>
        <w:rPr>
          <w:rFonts w:hint="eastAsia" w:ascii="仿宋" w:hAnsi="仿宋" w:eastAsia="仿宋" w:cs="仿宋"/>
          <w:color w:val="auto"/>
          <w:sz w:val="28"/>
          <w:szCs w:val="28"/>
          <w:highlight w:val="none"/>
          <w:u w:val="none"/>
        </w:rPr>
        <w:t xml:space="preserve">： </w:t>
      </w:r>
    </w:p>
    <w:p w14:paraId="61D1CDC8">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7.4.1非竞得人交纳的交易保证金按下列情形处理：</w:t>
      </w:r>
    </w:p>
    <w:p w14:paraId="65E12FFC">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lang w:val="en-US" w:eastAsia="zh-CN"/>
        </w:rPr>
        <w:t>（1）在交易公示结果公示期间，如无收到对交易程序或交易结果提出书面异议或投诉的，</w:t>
      </w:r>
      <w:r>
        <w:rPr>
          <w:rFonts w:hint="eastAsia" w:ascii="仿宋" w:hAnsi="仿宋" w:eastAsia="仿宋" w:cs="仿宋"/>
          <w:color w:val="auto"/>
          <w:sz w:val="28"/>
          <w:szCs w:val="28"/>
          <w:highlight w:val="none"/>
          <w:u w:val="none"/>
        </w:rPr>
        <w:t>在交易结果公示结束后5个工作日内不计利息原额</w:t>
      </w:r>
      <w:r>
        <w:rPr>
          <w:rFonts w:hint="eastAsia" w:ascii="仿宋" w:hAnsi="仿宋" w:eastAsia="仿宋" w:cs="仿宋"/>
          <w:color w:val="auto"/>
          <w:sz w:val="28"/>
          <w:szCs w:val="28"/>
          <w:highlight w:val="none"/>
          <w:u w:val="none"/>
          <w:lang w:eastAsia="zh-CN"/>
        </w:rPr>
        <w:t>原路</w:t>
      </w:r>
      <w:r>
        <w:rPr>
          <w:rFonts w:hint="eastAsia" w:ascii="仿宋" w:hAnsi="仿宋" w:eastAsia="仿宋" w:cs="仿宋"/>
          <w:color w:val="auto"/>
          <w:sz w:val="28"/>
          <w:szCs w:val="28"/>
          <w:highlight w:val="none"/>
          <w:u w:val="none"/>
        </w:rPr>
        <w:t>退还</w:t>
      </w:r>
      <w:r>
        <w:rPr>
          <w:rFonts w:hint="eastAsia" w:ascii="仿宋" w:hAnsi="仿宋" w:eastAsia="仿宋" w:cs="仿宋"/>
          <w:color w:val="auto"/>
          <w:sz w:val="28"/>
          <w:szCs w:val="28"/>
          <w:highlight w:val="none"/>
          <w:u w:val="none"/>
          <w:lang w:eastAsia="zh-CN"/>
        </w:rPr>
        <w:t>。</w:t>
      </w:r>
    </w:p>
    <w:p w14:paraId="58694932">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color w:val="auto"/>
          <w:highlight w:val="none"/>
          <w:lang w:val="en-US" w:eastAsia="zh-CN"/>
        </w:rPr>
      </w:pPr>
      <w:r>
        <w:rPr>
          <w:rFonts w:hint="eastAsia" w:ascii="仿宋" w:hAnsi="仿宋" w:eastAsia="仿宋" w:cs="仿宋"/>
          <w:color w:val="auto"/>
          <w:sz w:val="28"/>
          <w:szCs w:val="28"/>
          <w:highlight w:val="none"/>
          <w:u w:val="none"/>
          <w:lang w:val="en-US" w:eastAsia="zh-CN"/>
        </w:rPr>
        <w:t>（2）在交易公示结果公示期间，如收到对交易程序或交易结果提出书面异议或投诉的，则</w:t>
      </w:r>
      <w:r>
        <w:rPr>
          <w:rFonts w:hint="eastAsia" w:ascii="仿宋" w:hAnsi="仿宋" w:eastAsia="仿宋" w:cs="仿宋"/>
          <w:b/>
          <w:bCs/>
          <w:color w:val="auto"/>
          <w:sz w:val="28"/>
          <w:szCs w:val="28"/>
          <w:highlight w:val="none"/>
          <w:u w:val="none"/>
          <w:lang w:val="en-US" w:eastAsia="zh-CN"/>
        </w:rPr>
        <w:t>交易保证金将暂停退回处理（包括竞得人和非竞得人的交易保证金），</w:t>
      </w:r>
      <w:r>
        <w:rPr>
          <w:rFonts w:hint="eastAsia" w:ascii="仿宋" w:hAnsi="仿宋" w:eastAsia="仿宋" w:cs="仿宋"/>
          <w:color w:val="auto"/>
          <w:sz w:val="28"/>
          <w:szCs w:val="28"/>
          <w:highlight w:val="none"/>
          <w:u w:val="none"/>
          <w:lang w:eastAsia="zh-CN"/>
        </w:rPr>
        <w:t>在异议或投诉处理完毕后，按照以下原则处理：</w:t>
      </w:r>
    </w:p>
    <w:p w14:paraId="381320CC">
      <w:pPr>
        <w:numPr>
          <w:ilvl w:val="0"/>
          <w:numId w:val="0"/>
        </w:numPr>
        <w:shd w:val="clear" w:color="auto" w:fill="auto"/>
        <w:spacing w:line="440" w:lineRule="exact"/>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lang w:val="en-US" w:eastAsia="zh-CN"/>
        </w:rPr>
        <w:t>①</w:t>
      </w:r>
      <w:r>
        <w:rPr>
          <w:rFonts w:hint="eastAsia" w:ascii="仿宋" w:hAnsi="仿宋" w:eastAsia="仿宋" w:cs="仿宋"/>
          <w:color w:val="auto"/>
          <w:sz w:val="28"/>
          <w:szCs w:val="28"/>
          <w:highlight w:val="none"/>
          <w:u w:val="none"/>
          <w:lang w:val="en-US" w:eastAsia="zh-CN"/>
        </w:rPr>
        <w:t>经核实，异议或投诉事项不属实或不成立的，在异议或投诉处理完毕后，5个工作日内不计利息原额原路退还；</w:t>
      </w:r>
    </w:p>
    <w:p w14:paraId="7DDB8A21">
      <w:pPr>
        <w:numPr>
          <w:ilvl w:val="0"/>
          <w:numId w:val="0"/>
        </w:numPr>
        <w:shd w:val="clear" w:color="auto" w:fill="auto"/>
        <w:spacing w:line="440" w:lineRule="exact"/>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②经核实，异议或投诉事项属实，但未达到本须知第九款“违约违规责任”中竞投人所应承担的责任及不影响整个交易结果的，在异议或投诉处理完毕后，5个工作日内不计利息原额原路退还；</w:t>
      </w:r>
    </w:p>
    <w:p w14:paraId="0DD98BE9">
      <w:pPr>
        <w:numPr>
          <w:ilvl w:val="0"/>
          <w:numId w:val="0"/>
        </w:numPr>
        <w:spacing w:line="440" w:lineRule="exact"/>
        <w:ind w:firstLine="560" w:firstLineChars="200"/>
        <w:rPr>
          <w:rFonts w:hint="eastAsia"/>
          <w:color w:val="auto"/>
          <w:highlight w:val="none"/>
          <w:lang w:val="en-US" w:eastAsia="zh-CN"/>
        </w:rPr>
      </w:pPr>
      <w:r>
        <w:rPr>
          <w:rFonts w:hint="eastAsia" w:ascii="仿宋" w:hAnsi="仿宋" w:eastAsia="仿宋" w:cs="仿宋"/>
          <w:color w:val="auto"/>
          <w:sz w:val="28"/>
          <w:szCs w:val="28"/>
          <w:highlight w:val="none"/>
          <w:u w:val="none"/>
          <w:lang w:val="en-US" w:eastAsia="zh-CN"/>
        </w:rPr>
        <w:t>③经核实，异议或投诉事项属实，且应承担本须知第九款“违约违规责任”中竞投人应承担的责任的，则按照本须知第九款“违约违规责任”的相关条款处理。</w:t>
      </w:r>
    </w:p>
    <w:p w14:paraId="244B4731">
      <w:pPr>
        <w:keepNext w:val="0"/>
        <w:keepLines w:val="0"/>
        <w:pageBreakBefore w:val="0"/>
        <w:numPr>
          <w:ilvl w:val="0"/>
          <w:numId w:val="0"/>
        </w:numPr>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（3）</w:t>
      </w:r>
      <w:r>
        <w:rPr>
          <w:rFonts w:hint="eastAsia" w:ascii="仿宋" w:hAnsi="仿宋" w:eastAsia="仿宋" w:cs="仿宋"/>
          <w:color w:val="auto"/>
          <w:sz w:val="28"/>
          <w:szCs w:val="28"/>
          <w:highlight w:val="none"/>
          <w:u w:val="none"/>
          <w:lang w:eastAsia="zh-CN"/>
        </w:rPr>
        <w:t>已缴交交易保证金但未成功报名的非竞得人，在办理申请退保证金手续后</w:t>
      </w:r>
      <w:r>
        <w:rPr>
          <w:rFonts w:hint="eastAsia" w:ascii="仿宋" w:hAnsi="仿宋" w:eastAsia="仿宋" w:cs="仿宋"/>
          <w:color w:val="auto"/>
          <w:sz w:val="28"/>
          <w:szCs w:val="28"/>
          <w:highlight w:val="none"/>
          <w:u w:val="none"/>
          <w:lang w:val="en-US" w:eastAsia="zh-CN"/>
        </w:rPr>
        <w:t>5个工作日内不计利息原路退还。（银行受理区交易中心转账业务委托即视为已完成相关保证金返还手续）</w:t>
      </w:r>
    </w:p>
    <w:p w14:paraId="238AC161">
      <w:pPr>
        <w:keepNext w:val="0"/>
        <w:keepLines w:val="0"/>
        <w:pageBreakBefore w:val="0"/>
        <w:shd w:val="clear" w:color="auto" w:fill="auto"/>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highlight w:val="none"/>
          <w:u w:val="none"/>
        </w:rPr>
      </w:pPr>
      <w:r>
        <w:rPr>
          <w:rFonts w:hint="eastAsia" w:ascii="仿宋" w:hAnsi="仿宋" w:eastAsia="仿宋" w:cs="仿宋"/>
          <w:b/>
          <w:bCs/>
          <w:color w:val="auto"/>
          <w:sz w:val="28"/>
          <w:szCs w:val="28"/>
          <w:highlight w:val="none"/>
          <w:u w:val="none"/>
          <w:lang w:val="en-US" w:eastAsia="zh-CN"/>
        </w:rPr>
        <w:t>7.4.</w:t>
      </w:r>
      <w:r>
        <w:rPr>
          <w:rFonts w:hint="eastAsia" w:ascii="仿宋" w:hAnsi="仿宋" w:eastAsia="仿宋" w:cs="仿宋"/>
          <w:b/>
          <w:bCs/>
          <w:color w:val="auto"/>
          <w:sz w:val="28"/>
          <w:szCs w:val="28"/>
          <w:highlight w:val="none"/>
          <w:u w:val="none"/>
        </w:rPr>
        <w:t>2竞得人交纳的交易保证金</w:t>
      </w:r>
      <w:r>
        <w:rPr>
          <w:rFonts w:hint="eastAsia" w:ascii="仿宋" w:hAnsi="仿宋" w:eastAsia="仿宋" w:cs="仿宋"/>
          <w:b/>
          <w:bCs/>
          <w:color w:val="auto"/>
          <w:sz w:val="28"/>
          <w:szCs w:val="28"/>
          <w:highlight w:val="none"/>
          <w:u w:val="none"/>
          <w:lang w:val="en-US" w:eastAsia="zh-CN"/>
        </w:rPr>
        <w:t>按下列情形处理</w:t>
      </w:r>
      <w:r>
        <w:rPr>
          <w:rFonts w:hint="eastAsia" w:ascii="仿宋" w:hAnsi="仿宋" w:eastAsia="仿宋" w:cs="仿宋"/>
          <w:b/>
          <w:bCs/>
          <w:color w:val="auto"/>
          <w:sz w:val="28"/>
          <w:szCs w:val="28"/>
          <w:highlight w:val="none"/>
          <w:u w:val="none"/>
        </w:rPr>
        <w:t xml:space="preserve">： </w:t>
      </w:r>
    </w:p>
    <w:p w14:paraId="7867821D">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（1）在交易公示结果公示期间，如无收到对交易程序或交易结果提出书面异议或投诉的，在签订合同后5个工作日内不计利息</w:t>
      </w:r>
      <w:r>
        <w:rPr>
          <w:rFonts w:hint="eastAsia" w:ascii="仿宋" w:hAnsi="仿宋" w:eastAsia="仿宋" w:cs="仿宋"/>
          <w:color w:val="auto"/>
          <w:sz w:val="28"/>
          <w:szCs w:val="28"/>
          <w:highlight w:val="none"/>
          <w:u w:val="none"/>
          <w:lang w:eastAsia="zh-CN"/>
        </w:rPr>
        <w:t>转到项目</w:t>
      </w:r>
      <w:r>
        <w:rPr>
          <w:rFonts w:hint="eastAsia" w:ascii="仿宋" w:hAnsi="仿宋" w:eastAsia="仿宋" w:cs="仿宋"/>
          <w:color w:val="auto"/>
          <w:kern w:val="2"/>
          <w:sz w:val="28"/>
          <w:szCs w:val="28"/>
          <w:highlight w:val="none"/>
          <w:u w:val="none"/>
          <w:lang w:val="en-US" w:eastAsia="zh-CN" w:bidi="ar-SA"/>
        </w:rPr>
        <w:t>业主单位</w:t>
      </w:r>
      <w:r>
        <w:rPr>
          <w:rFonts w:hint="eastAsia" w:ascii="仿宋" w:hAnsi="仿宋" w:eastAsia="仿宋" w:cs="仿宋"/>
          <w:color w:val="auto"/>
          <w:sz w:val="28"/>
          <w:szCs w:val="28"/>
          <w:highlight w:val="none"/>
          <w:u w:val="none"/>
          <w:lang w:eastAsia="zh-CN"/>
        </w:rPr>
        <w:t>指定账户</w:t>
      </w:r>
      <w:r>
        <w:rPr>
          <w:rFonts w:hint="eastAsia" w:ascii="仿宋" w:hAnsi="仿宋" w:eastAsia="仿宋" w:cs="仿宋"/>
          <w:color w:val="auto"/>
          <w:sz w:val="28"/>
          <w:szCs w:val="28"/>
          <w:highlight w:val="none"/>
          <w:u w:val="none"/>
          <w:lang w:val="en-US" w:eastAsia="zh-CN"/>
        </w:rPr>
        <w:t>。</w:t>
      </w:r>
    </w:p>
    <w:p w14:paraId="5F0882A8">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（2）在交易公示结果公示期间，如收到对交易程序或交易结果提出书面异议或投诉的，则</w:t>
      </w:r>
      <w:r>
        <w:rPr>
          <w:rFonts w:hint="eastAsia" w:ascii="仿宋" w:hAnsi="仿宋" w:eastAsia="仿宋" w:cs="仿宋"/>
          <w:b/>
          <w:bCs/>
          <w:color w:val="auto"/>
          <w:sz w:val="28"/>
          <w:szCs w:val="28"/>
          <w:highlight w:val="none"/>
          <w:u w:val="none"/>
          <w:lang w:val="en-US" w:eastAsia="zh-CN"/>
        </w:rPr>
        <w:t>交易保证金将暂停退回处理（包括竞得人和非竞得人的交易保证金），</w:t>
      </w:r>
      <w:r>
        <w:rPr>
          <w:rFonts w:hint="eastAsia" w:ascii="仿宋" w:hAnsi="仿宋" w:eastAsia="仿宋" w:cs="仿宋"/>
          <w:color w:val="auto"/>
          <w:sz w:val="28"/>
          <w:szCs w:val="28"/>
          <w:highlight w:val="none"/>
          <w:u w:val="none"/>
          <w:lang w:val="en-US" w:eastAsia="zh-CN"/>
        </w:rPr>
        <w:t>在异议或投诉处理完毕后，按照以下原则处理：</w:t>
      </w:r>
    </w:p>
    <w:p w14:paraId="192A5E49">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①经核实，异议或投诉事项不属实或不成立的，在签订合同后5个工作日内不计利息</w:t>
      </w:r>
      <w:r>
        <w:rPr>
          <w:rFonts w:hint="eastAsia" w:ascii="仿宋" w:hAnsi="仿宋" w:eastAsia="仿宋" w:cs="仿宋"/>
          <w:color w:val="auto"/>
          <w:sz w:val="28"/>
          <w:szCs w:val="28"/>
          <w:highlight w:val="none"/>
          <w:u w:val="none"/>
          <w:lang w:eastAsia="zh-CN"/>
        </w:rPr>
        <w:t>转到项目</w:t>
      </w:r>
      <w:r>
        <w:rPr>
          <w:rFonts w:hint="eastAsia" w:ascii="仿宋" w:hAnsi="仿宋" w:eastAsia="仿宋" w:cs="仿宋"/>
          <w:color w:val="auto"/>
          <w:kern w:val="2"/>
          <w:sz w:val="28"/>
          <w:szCs w:val="28"/>
          <w:highlight w:val="none"/>
          <w:u w:val="none"/>
          <w:lang w:val="en-US" w:eastAsia="zh-CN" w:bidi="ar-SA"/>
        </w:rPr>
        <w:t>业主单位</w:t>
      </w:r>
      <w:r>
        <w:rPr>
          <w:rFonts w:hint="eastAsia" w:ascii="仿宋" w:hAnsi="仿宋" w:eastAsia="仿宋" w:cs="仿宋"/>
          <w:color w:val="auto"/>
          <w:sz w:val="28"/>
          <w:szCs w:val="28"/>
          <w:highlight w:val="none"/>
          <w:u w:val="none"/>
          <w:lang w:eastAsia="zh-CN"/>
        </w:rPr>
        <w:t>指定账户</w:t>
      </w:r>
      <w:r>
        <w:rPr>
          <w:rFonts w:hint="eastAsia" w:ascii="仿宋" w:hAnsi="仿宋" w:eastAsia="仿宋" w:cs="仿宋"/>
          <w:color w:val="auto"/>
          <w:sz w:val="28"/>
          <w:szCs w:val="28"/>
          <w:highlight w:val="none"/>
          <w:u w:val="none"/>
          <w:lang w:val="en-US" w:eastAsia="zh-CN"/>
        </w:rPr>
        <w:t>；</w:t>
      </w:r>
    </w:p>
    <w:p w14:paraId="60F4E7BE">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②经核实，异议或投诉事项属实，但未达到本须知</w:t>
      </w:r>
      <w:r>
        <w:rPr>
          <w:rFonts w:hint="eastAsia" w:ascii="仿宋" w:hAnsi="仿宋" w:eastAsia="仿宋" w:cs="仿宋"/>
          <w:color w:val="auto"/>
          <w:sz w:val="28"/>
          <w:szCs w:val="28"/>
          <w:highlight w:val="none"/>
          <w:u w:val="none"/>
          <w:lang w:val="en-US" w:eastAsia="zh-CN"/>
        </w:rPr>
        <w:t>第九</w:t>
      </w:r>
      <w:r>
        <w:rPr>
          <w:rFonts w:hint="eastAsia" w:ascii="仿宋" w:hAnsi="仿宋" w:eastAsia="仿宋" w:cs="仿宋"/>
          <w:color w:val="auto"/>
          <w:sz w:val="28"/>
          <w:szCs w:val="28"/>
          <w:highlight w:val="none"/>
          <w:u w:val="none"/>
          <w:lang w:val="en-US" w:eastAsia="zh-CN"/>
        </w:rPr>
        <w:t>款“违约违规责任”中竞投人所应承担的责任及不影响整个交易结果的，在签订合同后5个工作日内不计利息</w:t>
      </w:r>
      <w:r>
        <w:rPr>
          <w:rFonts w:hint="eastAsia" w:ascii="仿宋" w:hAnsi="仿宋" w:eastAsia="仿宋" w:cs="仿宋"/>
          <w:color w:val="auto"/>
          <w:sz w:val="28"/>
          <w:szCs w:val="28"/>
          <w:highlight w:val="none"/>
          <w:u w:val="none"/>
          <w:lang w:eastAsia="zh-CN"/>
        </w:rPr>
        <w:t>转到项目</w:t>
      </w:r>
      <w:r>
        <w:rPr>
          <w:rFonts w:hint="eastAsia" w:ascii="仿宋" w:hAnsi="仿宋" w:eastAsia="仿宋" w:cs="仿宋"/>
          <w:color w:val="auto"/>
          <w:kern w:val="2"/>
          <w:sz w:val="28"/>
          <w:szCs w:val="28"/>
          <w:highlight w:val="none"/>
          <w:u w:val="none"/>
          <w:lang w:val="en-US" w:eastAsia="zh-CN" w:bidi="ar-SA"/>
        </w:rPr>
        <w:t>业主单位</w:t>
      </w:r>
      <w:r>
        <w:rPr>
          <w:rFonts w:hint="eastAsia" w:ascii="仿宋" w:hAnsi="仿宋" w:eastAsia="仿宋" w:cs="仿宋"/>
          <w:color w:val="auto"/>
          <w:sz w:val="28"/>
          <w:szCs w:val="28"/>
          <w:highlight w:val="none"/>
          <w:u w:val="none"/>
          <w:lang w:eastAsia="zh-CN"/>
        </w:rPr>
        <w:t>指定账户</w:t>
      </w:r>
      <w:r>
        <w:rPr>
          <w:rFonts w:hint="eastAsia" w:ascii="仿宋" w:hAnsi="仿宋" w:eastAsia="仿宋" w:cs="仿宋"/>
          <w:color w:val="auto"/>
          <w:sz w:val="28"/>
          <w:szCs w:val="28"/>
          <w:highlight w:val="none"/>
          <w:u w:val="none"/>
          <w:lang w:val="en-US" w:eastAsia="zh-CN"/>
        </w:rPr>
        <w:t>；</w:t>
      </w:r>
    </w:p>
    <w:p w14:paraId="2E70B63A">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③经核实，异议或投诉事项属实，且应承担本须知</w:t>
      </w:r>
      <w:r>
        <w:rPr>
          <w:rFonts w:hint="eastAsia" w:ascii="仿宋" w:hAnsi="仿宋" w:eastAsia="仿宋" w:cs="仿宋"/>
          <w:color w:val="auto"/>
          <w:sz w:val="28"/>
          <w:szCs w:val="28"/>
          <w:highlight w:val="none"/>
          <w:u w:val="none"/>
          <w:lang w:val="en-US" w:eastAsia="zh-CN"/>
        </w:rPr>
        <w:t>第九</w:t>
      </w:r>
      <w:r>
        <w:rPr>
          <w:rFonts w:hint="eastAsia" w:ascii="仿宋" w:hAnsi="仿宋" w:eastAsia="仿宋" w:cs="仿宋"/>
          <w:color w:val="auto"/>
          <w:sz w:val="28"/>
          <w:szCs w:val="28"/>
          <w:highlight w:val="none"/>
          <w:u w:val="none"/>
          <w:lang w:val="en-US" w:eastAsia="zh-CN"/>
        </w:rPr>
        <w:t>款“违约违规责任”中竞投人应承担的责任的，则按照本须知</w:t>
      </w:r>
      <w:r>
        <w:rPr>
          <w:rFonts w:hint="eastAsia" w:ascii="仿宋" w:hAnsi="仿宋" w:eastAsia="仿宋" w:cs="仿宋"/>
          <w:color w:val="auto"/>
          <w:sz w:val="28"/>
          <w:szCs w:val="28"/>
          <w:highlight w:val="none"/>
          <w:u w:val="none"/>
          <w:lang w:val="en-US" w:eastAsia="zh-CN"/>
        </w:rPr>
        <w:t>第九</w:t>
      </w:r>
      <w:r>
        <w:rPr>
          <w:rFonts w:hint="eastAsia" w:ascii="仿宋" w:hAnsi="仿宋" w:eastAsia="仿宋" w:cs="仿宋"/>
          <w:color w:val="auto"/>
          <w:sz w:val="28"/>
          <w:szCs w:val="28"/>
          <w:highlight w:val="none"/>
          <w:u w:val="none"/>
          <w:lang w:val="en-US" w:eastAsia="zh-CN"/>
        </w:rPr>
        <w:t>款“违约违规责任”的相关条款处理。</w:t>
      </w:r>
      <w:r>
        <w:rPr>
          <w:rFonts w:hint="eastAsia" w:ascii="仿宋" w:hAnsi="仿宋" w:eastAsia="仿宋" w:cs="仿宋"/>
          <w:color w:val="auto"/>
          <w:sz w:val="28"/>
          <w:szCs w:val="28"/>
          <w:highlight w:val="none"/>
          <w:u w:val="none"/>
        </w:rPr>
        <w:t xml:space="preserve"> </w:t>
      </w:r>
    </w:p>
    <w:p w14:paraId="7D680D8D">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default"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相关</w:t>
      </w:r>
      <w:r>
        <w:rPr>
          <w:rFonts w:hint="default" w:ascii="黑体" w:hAnsi="黑体" w:eastAsia="黑体" w:cs="黑体"/>
          <w:b w:val="0"/>
          <w:bCs w:val="0"/>
          <w:color w:val="auto"/>
          <w:sz w:val="28"/>
          <w:szCs w:val="28"/>
          <w:highlight w:val="none"/>
          <w:u w:val="none"/>
          <w:lang w:val="en-US" w:eastAsia="zh-CN"/>
        </w:rPr>
        <w:t>交易文件</w:t>
      </w:r>
      <w:r>
        <w:rPr>
          <w:rFonts w:hint="eastAsia" w:ascii="黑体" w:hAnsi="黑体" w:eastAsia="黑体" w:cs="黑体"/>
          <w:b w:val="0"/>
          <w:bCs w:val="0"/>
          <w:color w:val="auto"/>
          <w:sz w:val="28"/>
          <w:szCs w:val="28"/>
          <w:highlight w:val="none"/>
          <w:u w:val="none"/>
          <w:lang w:val="en-US" w:eastAsia="zh-CN"/>
        </w:rPr>
        <w:t>说明</w:t>
      </w:r>
    </w:p>
    <w:p w14:paraId="1A786806">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8.1《交易公告》是区交易中心接受项目业主单位的委托而发布的，所有信息均由项目业主单位以书面形式提供，由项目业主单位对信息的真实性负责。《广州市番禺区农村集体大额资产交易文件》（下称《交易文件》）是涉及竞投人准入条件、项目基本情况、报名要求、合同内容等至关重要的文件，竞投意向人在报名参加竞投前须全面阅读。</w:t>
      </w:r>
    </w:p>
    <w:p w14:paraId="3990DB2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8.2项目以现状为准，《交易公告》、《交易文件》提供的项目相关说明和图片资料等，仅供竞投意向人参考，不构成对项目的任何担保。请竞投意向人在报名参与竞投前必须仔细审查项目的情况，包括且不限于调查项目的权属情况、合法性、是否存在未决纠纷、是否存在其他瑕疵等。竞投意向人应认真研究查看项目的实际情况，并请亲自实地看样，未看样的竞投意向人视为对项目现状确认无误。竞投意向人一旦作出交易报名即表明已完全了解，并接受项目的现状和一切已知及未知的瑕疵，并对有关承诺承担法律责任。</w:t>
      </w:r>
    </w:p>
    <w:p w14:paraId="56C5C59A">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8.3竞投意向人应按《交易公告》《交易文件》的要求和规定提交报名资料，保证所提供全部资料的真实性、合法性。竞投意向人未按要求提交全部资料参加报名的，将不予确认其竞投资格。竞投意向人的竞投资格一经受理确认，无特殊的情况下不予撤回。</w:t>
      </w:r>
    </w:p>
    <w:p w14:paraId="1591C32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8.4《交易公告》、《交易文件》的澄清。《交易公告》、《交易文件》的澄清是指项目业主单位对《交易公告》、《交易文件》中的遗漏、词义表述不清或对比较复杂的事项进行说明，回答竞投意向人提出的各种问题。竞投意向人对《交易公告》、《交易文件》如有疑问，可在报名结束3日前到区交易中心现场提出书面申请要求澄清。项目业主单位根据情况采用适当的方式予以澄清，并授权区交易中心答复已领取《番禺区农村集体资产交易管理中心竞投资格确认书》的每一位竞投人，该澄清的内容为《交易公告》、《交易文件》的组成部分。</w:t>
      </w:r>
    </w:p>
    <w:p w14:paraId="5F0A3D0A">
      <w:pPr>
        <w:keepNext w:val="0"/>
        <w:keepLines w:val="0"/>
        <w:pageBreakBefore w:val="0"/>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8.5《交易公告》、《交易文件》的修改是指项目业主单位对《交易公告》、《交易文件》中出现的错误进行更正。</w:t>
      </w:r>
    </w:p>
    <w:p w14:paraId="279B5389">
      <w:pPr>
        <w:keepNext w:val="0"/>
        <w:keepLines w:val="0"/>
        <w:pageBreakBefore w:val="0"/>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8.6《交易公告》、《交易文件》的澄清及修改将以公告、短信或其他书面形式发给所有竞投人，该修改书将构成《交易公告》、《交易文件》的一部分，对全体竞投意向人及竞投人有约束力。《交易公告》、《交易文件》修改发生在报名截止时间前的，报名截止时间顺延1个工作日（如顺延工作日为星期五，星期五下午不接受报名，即仅顺延半个工作日）。《交易公告》、《交易文件》修改发生在报名截止时间后的，竞投人在收到通知后应在规定的时间内以书面形式向本交易中心作出接受确认或申请退出交易活动；在规定的时间内既未作出接受确认亦未申请退出交易活动的，视为接受修改书的所有内容。竞投人申请退出交易活动的，区交易中心不计利息原额原路退还交易保证金。</w:t>
      </w:r>
    </w:p>
    <w:p w14:paraId="2B9D9198">
      <w:pPr>
        <w:keepNext w:val="0"/>
        <w:keepLines w:val="0"/>
        <w:pageBreakBefore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0"/>
        <w:textAlignment w:val="auto"/>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rPr>
        <w:t xml:space="preserve">违约违规责任 </w:t>
      </w:r>
    </w:p>
    <w:p w14:paraId="67AB1DC8">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9.1</w:t>
      </w:r>
      <w:r>
        <w:rPr>
          <w:rFonts w:hint="eastAsia" w:ascii="仿宋" w:hAnsi="仿宋" w:eastAsia="仿宋" w:cs="仿宋"/>
          <w:color w:val="auto"/>
          <w:sz w:val="28"/>
          <w:szCs w:val="28"/>
          <w:highlight w:val="none"/>
          <w:u w:val="none"/>
        </w:rPr>
        <w:t>竞投人存在下列情形之一</w:t>
      </w:r>
      <w:r>
        <w:rPr>
          <w:rFonts w:hint="eastAsia" w:ascii="仿宋" w:hAnsi="仿宋" w:eastAsia="仿宋" w:cs="仿宋"/>
          <w:color w:val="auto"/>
          <w:sz w:val="28"/>
          <w:szCs w:val="28"/>
          <w:highlight w:val="none"/>
          <w:u w:val="none"/>
          <w:lang w:val="en-US" w:eastAsia="zh-CN"/>
        </w:rPr>
        <w:t>的</w:t>
      </w:r>
      <w:r>
        <w:rPr>
          <w:rFonts w:hint="eastAsia" w:ascii="仿宋" w:hAnsi="仿宋" w:eastAsia="仿宋" w:cs="仿宋"/>
          <w:color w:val="auto"/>
          <w:sz w:val="28"/>
          <w:szCs w:val="28"/>
          <w:highlight w:val="none"/>
          <w:u w:val="none"/>
        </w:rPr>
        <w:t>，取消其竞投资格</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已交纳</w:t>
      </w:r>
      <w:r>
        <w:rPr>
          <w:rFonts w:hint="eastAsia" w:ascii="仿宋" w:hAnsi="仿宋" w:eastAsia="仿宋" w:cs="仿宋"/>
          <w:color w:val="auto"/>
          <w:sz w:val="28"/>
          <w:szCs w:val="28"/>
          <w:highlight w:val="none"/>
          <w:u w:val="none"/>
        </w:rPr>
        <w:t>的交易保证金</w:t>
      </w:r>
      <w:r>
        <w:rPr>
          <w:rFonts w:hint="eastAsia" w:ascii="仿宋" w:hAnsi="仿宋" w:eastAsia="仿宋" w:cs="仿宋"/>
          <w:color w:val="auto"/>
          <w:sz w:val="28"/>
          <w:szCs w:val="28"/>
          <w:highlight w:val="none"/>
          <w:u w:val="none"/>
          <w:lang w:val="en-US" w:eastAsia="zh-CN"/>
        </w:rPr>
        <w:t>将按项目业主单位要求转至其指定账户内</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9.1.1</w:t>
      </w:r>
      <w:r>
        <w:rPr>
          <w:rFonts w:hint="eastAsia" w:ascii="仿宋" w:hAnsi="仿宋" w:eastAsia="仿宋" w:cs="仿宋"/>
          <w:color w:val="auto"/>
          <w:sz w:val="28"/>
          <w:szCs w:val="28"/>
          <w:highlight w:val="none"/>
          <w:u w:val="none"/>
        </w:rPr>
        <w:t>取消其竞投资格</w:t>
      </w:r>
      <w:r>
        <w:rPr>
          <w:rFonts w:hint="eastAsia" w:ascii="仿宋" w:hAnsi="仿宋" w:eastAsia="仿宋" w:cs="仿宋"/>
          <w:color w:val="auto"/>
          <w:sz w:val="28"/>
          <w:szCs w:val="28"/>
          <w:highlight w:val="none"/>
          <w:u w:val="none"/>
          <w:lang w:val="en-US" w:eastAsia="zh-CN"/>
        </w:rPr>
        <w:t>但退还交易保证金</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 xml:space="preserve">： </w:t>
      </w:r>
    </w:p>
    <w:p w14:paraId="2404F419">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lang w:val="en-US" w:eastAsia="zh-CN"/>
        </w:rPr>
        <w:t>9.1.</w:t>
      </w:r>
      <w:r>
        <w:rPr>
          <w:rFonts w:hint="eastAsia" w:ascii="仿宋" w:hAnsi="仿宋" w:eastAsia="仿宋" w:cs="仿宋"/>
          <w:color w:val="auto"/>
          <w:sz w:val="28"/>
          <w:szCs w:val="28"/>
          <w:highlight w:val="none"/>
          <w:u w:val="none"/>
        </w:rPr>
        <w:t>1竞投人未按照</w:t>
      </w:r>
      <w:r>
        <w:rPr>
          <w:rFonts w:hint="eastAsia" w:ascii="仿宋" w:hAnsi="仿宋" w:eastAsia="仿宋" w:cs="仿宋"/>
          <w:color w:val="auto"/>
          <w:sz w:val="28"/>
          <w:szCs w:val="28"/>
          <w:highlight w:val="none"/>
          <w:u w:val="none"/>
          <w:lang w:eastAsia="zh-CN"/>
        </w:rPr>
        <w:t>《交易文件》</w:t>
      </w:r>
      <w:r>
        <w:rPr>
          <w:rFonts w:hint="eastAsia" w:ascii="仿宋" w:hAnsi="仿宋" w:eastAsia="仿宋" w:cs="仿宋"/>
          <w:color w:val="auto"/>
          <w:sz w:val="28"/>
          <w:szCs w:val="28"/>
          <w:highlight w:val="none"/>
          <w:u w:val="none"/>
        </w:rPr>
        <w:t>要求准时</w:t>
      </w:r>
      <w:r>
        <w:rPr>
          <w:rFonts w:hint="eastAsia" w:ascii="仿宋" w:hAnsi="仿宋" w:eastAsia="仿宋" w:cs="仿宋"/>
          <w:color w:val="auto"/>
          <w:sz w:val="28"/>
          <w:szCs w:val="28"/>
          <w:highlight w:val="none"/>
          <w:u w:val="none"/>
          <w:lang w:eastAsia="zh-CN"/>
        </w:rPr>
        <w:t>参与网上</w:t>
      </w:r>
      <w:r>
        <w:rPr>
          <w:rFonts w:hint="eastAsia" w:ascii="仿宋" w:hAnsi="仿宋" w:eastAsia="仿宋" w:cs="仿宋"/>
          <w:color w:val="auto"/>
          <w:sz w:val="28"/>
          <w:szCs w:val="28"/>
          <w:highlight w:val="none"/>
          <w:u w:val="none"/>
        </w:rPr>
        <w:t>竞投的</w:t>
      </w:r>
      <w:r>
        <w:rPr>
          <w:rFonts w:hint="eastAsia" w:ascii="仿宋" w:hAnsi="仿宋" w:eastAsia="仿宋" w:cs="仿宋"/>
          <w:color w:val="auto"/>
          <w:sz w:val="28"/>
          <w:szCs w:val="28"/>
          <w:highlight w:val="none"/>
          <w:u w:val="none"/>
          <w:lang w:eastAsia="zh-CN"/>
        </w:rPr>
        <w:t>；</w:t>
      </w:r>
    </w:p>
    <w:p w14:paraId="337D60A7">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9.1.4</w:t>
      </w:r>
      <w:r>
        <w:rPr>
          <w:rFonts w:hint="eastAsia" w:ascii="仿宋" w:hAnsi="仿宋" w:eastAsia="仿宋" w:cs="仿宋"/>
          <w:color w:val="auto"/>
          <w:sz w:val="28"/>
          <w:szCs w:val="28"/>
          <w:highlight w:val="none"/>
          <w:u w:val="none"/>
        </w:rPr>
        <w:t>扰乱</w:t>
      </w:r>
      <w:r>
        <w:rPr>
          <w:rFonts w:hint="eastAsia" w:ascii="仿宋" w:hAnsi="仿宋" w:eastAsia="仿宋" w:cs="仿宋"/>
          <w:color w:val="auto"/>
          <w:sz w:val="28"/>
          <w:szCs w:val="28"/>
          <w:highlight w:val="none"/>
          <w:u w:val="none"/>
          <w:lang w:eastAsia="zh-CN"/>
        </w:rPr>
        <w:t>网上</w:t>
      </w:r>
      <w:r>
        <w:rPr>
          <w:rFonts w:hint="eastAsia" w:ascii="仿宋" w:hAnsi="仿宋" w:eastAsia="仿宋" w:cs="仿宋"/>
          <w:color w:val="auto"/>
          <w:sz w:val="28"/>
          <w:szCs w:val="28"/>
          <w:highlight w:val="none"/>
          <w:u w:val="none"/>
        </w:rPr>
        <w:t>竞投秩序，</w:t>
      </w:r>
      <w:r>
        <w:rPr>
          <w:rFonts w:hint="eastAsia" w:ascii="仿宋" w:hAnsi="仿宋" w:eastAsia="仿宋" w:cs="仿宋"/>
          <w:color w:val="auto"/>
          <w:sz w:val="28"/>
          <w:szCs w:val="28"/>
          <w:highlight w:val="none"/>
          <w:u w:val="none"/>
          <w:lang w:eastAsia="zh-CN"/>
        </w:rPr>
        <w:t>区交易中心</w:t>
      </w:r>
      <w:r>
        <w:rPr>
          <w:rFonts w:hint="eastAsia" w:ascii="仿宋" w:hAnsi="仿宋" w:eastAsia="仿宋" w:cs="仿宋"/>
          <w:color w:val="auto"/>
          <w:sz w:val="28"/>
          <w:szCs w:val="28"/>
          <w:highlight w:val="none"/>
          <w:u w:val="none"/>
        </w:rPr>
        <w:t>认为其行为已影响项目的“公开、公平、公正”竞争或影响本项目正常交易的</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 xml:space="preserve"> </w:t>
      </w:r>
    </w:p>
    <w:p w14:paraId="18EB6E5C">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9.1.5</w:t>
      </w:r>
      <w:r>
        <w:rPr>
          <w:rFonts w:hint="eastAsia" w:ascii="仿宋" w:hAnsi="仿宋" w:eastAsia="仿宋" w:cs="仿宋"/>
          <w:color w:val="auto"/>
          <w:sz w:val="28"/>
          <w:szCs w:val="28"/>
          <w:highlight w:val="none"/>
          <w:u w:val="none"/>
        </w:rPr>
        <w:t>在交易结果公示结束前，被投诉或被举报所提交的影响其准入条件的资质、资格、证照等证件资料属虚假或在项目业主方指定期间（下称该期间）已失效（或无效），或在该期间减少影响项目报名准入条件的证件资料内容，经核实的</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 xml:space="preserve"> </w:t>
      </w:r>
    </w:p>
    <w:p w14:paraId="0E59CE53">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9.1.6</w:t>
      </w:r>
      <w:r>
        <w:rPr>
          <w:rFonts w:hint="eastAsia" w:ascii="仿宋" w:hAnsi="仿宋" w:eastAsia="仿宋" w:cs="仿宋"/>
          <w:color w:val="auto"/>
          <w:sz w:val="28"/>
          <w:szCs w:val="28"/>
          <w:highlight w:val="none"/>
          <w:u w:val="none"/>
        </w:rPr>
        <w:t>在交易结果公示结束前，被投诉或</w:t>
      </w:r>
      <w:r>
        <w:rPr>
          <w:rFonts w:hint="eastAsia" w:ascii="仿宋" w:hAnsi="仿宋" w:eastAsia="仿宋" w:cs="仿宋"/>
          <w:color w:val="auto"/>
          <w:sz w:val="28"/>
          <w:szCs w:val="28"/>
          <w:highlight w:val="none"/>
          <w:u w:val="none"/>
          <w:lang w:val="en-US" w:eastAsia="zh-CN"/>
        </w:rPr>
        <w:t>被</w:t>
      </w:r>
      <w:r>
        <w:rPr>
          <w:rFonts w:hint="eastAsia" w:ascii="仿宋" w:hAnsi="仿宋" w:eastAsia="仿宋" w:cs="仿宋"/>
          <w:color w:val="auto"/>
          <w:sz w:val="28"/>
          <w:szCs w:val="28"/>
          <w:highlight w:val="none"/>
          <w:u w:val="none"/>
        </w:rPr>
        <w:t>举报采取不正当手段参与竞投</w:t>
      </w:r>
      <w:r>
        <w:rPr>
          <w:rFonts w:hint="eastAsia" w:ascii="仿宋" w:hAnsi="仿宋" w:eastAsia="仿宋" w:cs="仿宋"/>
          <w:color w:val="auto"/>
          <w:sz w:val="28"/>
          <w:szCs w:val="28"/>
          <w:highlight w:val="none"/>
          <w:u w:val="none"/>
          <w:lang w:val="en-US" w:eastAsia="zh-CN"/>
        </w:rPr>
        <w:t>且</w:t>
      </w:r>
      <w:r>
        <w:rPr>
          <w:rFonts w:hint="eastAsia" w:ascii="仿宋" w:hAnsi="仿宋" w:eastAsia="仿宋" w:cs="仿宋"/>
          <w:color w:val="auto"/>
          <w:sz w:val="28"/>
          <w:szCs w:val="28"/>
          <w:highlight w:val="none"/>
          <w:u w:val="none"/>
        </w:rPr>
        <w:t>经核实的</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 xml:space="preserve"> </w:t>
      </w:r>
    </w:p>
    <w:p w14:paraId="018EB8FC">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9.1.7</w:t>
      </w:r>
      <w:r>
        <w:rPr>
          <w:rFonts w:hint="eastAsia" w:ascii="仿宋" w:hAnsi="仿宋" w:eastAsia="仿宋" w:cs="仿宋"/>
          <w:color w:val="auto"/>
          <w:sz w:val="28"/>
          <w:szCs w:val="28"/>
          <w:highlight w:val="none"/>
          <w:u w:val="none"/>
        </w:rPr>
        <w:t>其他</w:t>
      </w:r>
      <w:r>
        <w:rPr>
          <w:rFonts w:hint="eastAsia" w:ascii="仿宋" w:hAnsi="仿宋" w:eastAsia="仿宋" w:cs="仿宋"/>
          <w:color w:val="auto"/>
          <w:sz w:val="28"/>
          <w:szCs w:val="28"/>
          <w:highlight w:val="none"/>
          <w:u w:val="none"/>
          <w:lang w:eastAsia="zh-CN"/>
        </w:rPr>
        <w:t>违反</w:t>
      </w:r>
      <w:r>
        <w:rPr>
          <w:rFonts w:hint="eastAsia" w:ascii="仿宋" w:hAnsi="仿宋" w:eastAsia="仿宋" w:cs="仿宋"/>
          <w:color w:val="auto"/>
          <w:sz w:val="28"/>
          <w:szCs w:val="28"/>
          <w:highlight w:val="none"/>
          <w:u w:val="none"/>
        </w:rPr>
        <w:t>法律</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法规</w:t>
      </w:r>
      <w:r>
        <w:rPr>
          <w:rFonts w:hint="eastAsia" w:ascii="仿宋" w:hAnsi="仿宋" w:eastAsia="仿宋" w:cs="仿宋"/>
          <w:color w:val="auto"/>
          <w:sz w:val="28"/>
          <w:szCs w:val="28"/>
          <w:highlight w:val="none"/>
          <w:u w:val="none"/>
          <w:lang w:val="en-US" w:eastAsia="zh-CN"/>
        </w:rPr>
        <w:t>、本须知及《交易文件》</w:t>
      </w:r>
      <w:r>
        <w:rPr>
          <w:rFonts w:hint="eastAsia" w:ascii="仿宋" w:hAnsi="仿宋" w:eastAsia="仿宋" w:cs="仿宋"/>
          <w:color w:val="auto"/>
          <w:sz w:val="28"/>
          <w:szCs w:val="28"/>
          <w:highlight w:val="none"/>
          <w:u w:val="none"/>
        </w:rPr>
        <w:t>规定</w:t>
      </w:r>
      <w:r>
        <w:rPr>
          <w:rFonts w:hint="eastAsia" w:ascii="仿宋" w:hAnsi="仿宋" w:eastAsia="仿宋" w:cs="仿宋"/>
          <w:color w:val="auto"/>
          <w:sz w:val="28"/>
          <w:szCs w:val="28"/>
          <w:highlight w:val="none"/>
          <w:u w:val="none"/>
          <w:lang w:val="en-US" w:eastAsia="zh-CN"/>
        </w:rPr>
        <w:t>应</w:t>
      </w:r>
      <w:r>
        <w:rPr>
          <w:rFonts w:hint="eastAsia" w:ascii="仿宋" w:hAnsi="仿宋" w:eastAsia="仿宋" w:cs="仿宋"/>
          <w:color w:val="auto"/>
          <w:sz w:val="28"/>
          <w:szCs w:val="28"/>
          <w:highlight w:val="none"/>
          <w:u w:val="none"/>
        </w:rPr>
        <w:t>取消其竞投资格情形</w:t>
      </w:r>
      <w:r>
        <w:rPr>
          <w:rFonts w:hint="eastAsia" w:ascii="仿宋" w:hAnsi="仿宋" w:eastAsia="仿宋" w:cs="仿宋"/>
          <w:color w:val="auto"/>
          <w:sz w:val="28"/>
          <w:szCs w:val="28"/>
          <w:highlight w:val="none"/>
          <w:u w:val="none"/>
          <w:lang w:eastAsia="zh-CN"/>
        </w:rPr>
        <w:t>的</w:t>
      </w:r>
      <w:r>
        <w:rPr>
          <w:rFonts w:hint="eastAsia" w:ascii="仿宋" w:hAnsi="仿宋" w:eastAsia="仿宋" w:cs="仿宋"/>
          <w:color w:val="auto"/>
          <w:sz w:val="28"/>
          <w:szCs w:val="28"/>
          <w:highlight w:val="none"/>
          <w:u w:val="none"/>
        </w:rPr>
        <w:t xml:space="preserve">。 </w:t>
      </w:r>
    </w:p>
    <w:p w14:paraId="41CA3A8A">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9.2</w:t>
      </w:r>
      <w:r>
        <w:rPr>
          <w:rFonts w:hint="eastAsia" w:ascii="仿宋" w:hAnsi="仿宋" w:eastAsia="仿宋" w:cs="仿宋"/>
          <w:color w:val="auto"/>
          <w:sz w:val="28"/>
          <w:szCs w:val="28"/>
          <w:highlight w:val="none"/>
          <w:u w:val="none"/>
        </w:rPr>
        <w:t>竞得人存在下列情形之一的，取消其竞得资格</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已交纳</w:t>
      </w:r>
      <w:r>
        <w:rPr>
          <w:rFonts w:hint="eastAsia" w:ascii="仿宋" w:hAnsi="仿宋" w:eastAsia="仿宋" w:cs="仿宋"/>
          <w:color w:val="auto"/>
          <w:sz w:val="28"/>
          <w:szCs w:val="28"/>
          <w:highlight w:val="none"/>
          <w:u w:val="none"/>
        </w:rPr>
        <w:t>的交易保证金</w:t>
      </w:r>
      <w:r>
        <w:rPr>
          <w:rFonts w:hint="eastAsia" w:ascii="仿宋" w:hAnsi="仿宋" w:eastAsia="仿宋" w:cs="仿宋"/>
          <w:color w:val="auto"/>
          <w:sz w:val="28"/>
          <w:szCs w:val="28"/>
          <w:highlight w:val="none"/>
          <w:u w:val="none"/>
          <w:lang w:val="en-US" w:eastAsia="zh-CN"/>
        </w:rPr>
        <w:t>将按项目业主单位要求转至其指定账户内</w:t>
      </w:r>
      <w:r>
        <w:rPr>
          <w:rFonts w:hint="eastAsia" w:ascii="仿宋" w:hAnsi="仿宋" w:eastAsia="仿宋" w:cs="仿宋"/>
          <w:color w:val="auto"/>
          <w:sz w:val="28"/>
          <w:szCs w:val="28"/>
          <w:highlight w:val="none"/>
          <w:u w:val="none"/>
        </w:rPr>
        <w:t xml:space="preserve">： </w:t>
      </w:r>
    </w:p>
    <w:p w14:paraId="13DE2A9D">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9.2.</w:t>
      </w:r>
      <w:r>
        <w:rPr>
          <w:rFonts w:hint="eastAsia" w:ascii="仿宋" w:hAnsi="仿宋" w:eastAsia="仿宋" w:cs="仿宋"/>
          <w:color w:val="auto"/>
          <w:sz w:val="28"/>
          <w:szCs w:val="28"/>
          <w:highlight w:val="none"/>
          <w:u w:val="none"/>
        </w:rPr>
        <w:t>1拒绝现场签订</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成交</w:t>
      </w:r>
      <w:r>
        <w:rPr>
          <w:rFonts w:hint="eastAsia" w:ascii="仿宋" w:hAnsi="仿宋" w:eastAsia="仿宋" w:cs="仿宋"/>
          <w:color w:val="auto"/>
          <w:sz w:val="28"/>
          <w:szCs w:val="28"/>
          <w:highlight w:val="none"/>
          <w:u w:val="none"/>
          <w:lang w:val="en-US" w:eastAsia="zh-CN"/>
        </w:rPr>
        <w:t>确认书</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的</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 xml:space="preserve"> </w:t>
      </w:r>
    </w:p>
    <w:p w14:paraId="16744810">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lang w:val="en-US" w:eastAsia="zh-CN"/>
        </w:rPr>
        <w:t>9.2.</w:t>
      </w:r>
      <w:r>
        <w:rPr>
          <w:rFonts w:hint="eastAsia" w:ascii="仿宋" w:hAnsi="仿宋" w:eastAsia="仿宋" w:cs="仿宋"/>
          <w:color w:val="auto"/>
          <w:sz w:val="28"/>
          <w:szCs w:val="28"/>
          <w:highlight w:val="none"/>
          <w:u w:val="none"/>
        </w:rPr>
        <w:t>2在交易结果公示结束后，</w:t>
      </w:r>
      <w:r>
        <w:rPr>
          <w:rFonts w:hint="eastAsia" w:ascii="仿宋" w:hAnsi="仿宋" w:eastAsia="仿宋" w:cs="仿宋"/>
          <w:color w:val="auto"/>
          <w:sz w:val="28"/>
          <w:szCs w:val="28"/>
          <w:highlight w:val="none"/>
          <w:u w:val="none"/>
          <w:lang w:eastAsia="zh-CN"/>
        </w:rPr>
        <w:t>因竞得人原因</w:t>
      </w:r>
      <w:r>
        <w:rPr>
          <w:rFonts w:hint="eastAsia" w:ascii="仿宋" w:hAnsi="仿宋" w:eastAsia="仿宋" w:cs="仿宋"/>
          <w:color w:val="auto"/>
          <w:sz w:val="28"/>
          <w:szCs w:val="28"/>
          <w:highlight w:val="none"/>
          <w:u w:val="none"/>
        </w:rPr>
        <w:t>未在规定的时间内到指定场所签订合同的（在交易结果公示期间，有人对交易程序或</w:t>
      </w:r>
      <w:r>
        <w:rPr>
          <w:rFonts w:hint="eastAsia" w:ascii="仿宋" w:hAnsi="仿宋" w:eastAsia="仿宋" w:cs="仿宋"/>
          <w:color w:val="auto"/>
          <w:sz w:val="28"/>
          <w:szCs w:val="28"/>
          <w:highlight w:val="none"/>
          <w:u w:val="none"/>
          <w:lang w:eastAsia="zh-CN"/>
        </w:rPr>
        <w:t>竞得人资质资格</w:t>
      </w:r>
      <w:r>
        <w:rPr>
          <w:rFonts w:hint="eastAsia" w:ascii="仿宋" w:hAnsi="仿宋" w:eastAsia="仿宋" w:cs="仿宋"/>
          <w:color w:val="auto"/>
          <w:sz w:val="28"/>
          <w:szCs w:val="28"/>
          <w:highlight w:val="none"/>
          <w:u w:val="none"/>
        </w:rPr>
        <w:t>提出异议或投诉，正在核实相关情况的除外）</w:t>
      </w:r>
      <w:r>
        <w:rPr>
          <w:rFonts w:hint="eastAsia" w:ascii="仿宋" w:hAnsi="仿宋" w:eastAsia="仿宋" w:cs="仿宋"/>
          <w:color w:val="auto"/>
          <w:sz w:val="28"/>
          <w:szCs w:val="28"/>
          <w:highlight w:val="none"/>
          <w:u w:val="none"/>
          <w:lang w:eastAsia="zh-CN"/>
        </w:rPr>
        <w:t>；</w:t>
      </w:r>
    </w:p>
    <w:p w14:paraId="64A48CF1">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9.2.3</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none"/>
          <w:lang w:val="en-US" w:eastAsia="zh-CN"/>
        </w:rPr>
        <w:t>被取消竞投资格的；</w:t>
      </w:r>
    </w:p>
    <w:p w14:paraId="3EA073FC">
      <w:pPr>
        <w:keepNext w:val="0"/>
        <w:keepLines w:val="0"/>
        <w:pageBreakBefore w:val="0"/>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9.2.4</w:t>
      </w:r>
      <w:r>
        <w:rPr>
          <w:rFonts w:hint="eastAsia" w:ascii="仿宋" w:hAnsi="仿宋" w:eastAsia="仿宋" w:cs="仿宋"/>
          <w:color w:val="auto"/>
          <w:sz w:val="28"/>
          <w:szCs w:val="28"/>
          <w:highlight w:val="none"/>
          <w:u w:val="none"/>
        </w:rPr>
        <w:t>其他</w:t>
      </w:r>
      <w:r>
        <w:rPr>
          <w:rFonts w:hint="eastAsia" w:ascii="仿宋" w:hAnsi="仿宋" w:eastAsia="仿宋" w:cs="仿宋"/>
          <w:color w:val="auto"/>
          <w:sz w:val="28"/>
          <w:szCs w:val="28"/>
          <w:highlight w:val="none"/>
          <w:u w:val="none"/>
          <w:lang w:eastAsia="zh-CN"/>
        </w:rPr>
        <w:t>违反</w:t>
      </w:r>
      <w:r>
        <w:rPr>
          <w:rFonts w:hint="eastAsia" w:ascii="仿宋" w:hAnsi="仿宋" w:eastAsia="仿宋" w:cs="仿宋"/>
          <w:color w:val="auto"/>
          <w:sz w:val="28"/>
          <w:szCs w:val="28"/>
          <w:highlight w:val="none"/>
          <w:u w:val="none"/>
        </w:rPr>
        <w:t>法律</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法规</w:t>
      </w:r>
      <w:r>
        <w:rPr>
          <w:rFonts w:hint="eastAsia" w:ascii="仿宋" w:hAnsi="仿宋" w:eastAsia="仿宋" w:cs="仿宋"/>
          <w:color w:val="auto"/>
          <w:sz w:val="28"/>
          <w:szCs w:val="28"/>
          <w:highlight w:val="none"/>
          <w:u w:val="none"/>
          <w:lang w:val="en-US" w:eastAsia="zh-CN"/>
        </w:rPr>
        <w:t>、本须知及《交易文件》</w:t>
      </w:r>
      <w:r>
        <w:rPr>
          <w:rFonts w:hint="eastAsia" w:ascii="仿宋" w:hAnsi="仿宋" w:eastAsia="仿宋" w:cs="仿宋"/>
          <w:color w:val="auto"/>
          <w:sz w:val="28"/>
          <w:szCs w:val="28"/>
          <w:highlight w:val="none"/>
          <w:u w:val="none"/>
        </w:rPr>
        <w:t>规定</w:t>
      </w:r>
      <w:r>
        <w:rPr>
          <w:rFonts w:hint="eastAsia" w:ascii="仿宋" w:hAnsi="仿宋" w:eastAsia="仿宋" w:cs="仿宋"/>
          <w:color w:val="auto"/>
          <w:sz w:val="28"/>
          <w:szCs w:val="28"/>
          <w:highlight w:val="none"/>
          <w:u w:val="none"/>
          <w:lang w:val="en-US" w:eastAsia="zh-CN"/>
        </w:rPr>
        <w:t>应</w:t>
      </w:r>
      <w:r>
        <w:rPr>
          <w:rFonts w:hint="eastAsia" w:ascii="仿宋" w:hAnsi="仿宋" w:eastAsia="仿宋" w:cs="仿宋"/>
          <w:color w:val="auto"/>
          <w:sz w:val="28"/>
          <w:szCs w:val="28"/>
          <w:highlight w:val="none"/>
          <w:u w:val="none"/>
        </w:rPr>
        <w:t>取消其竞</w:t>
      </w:r>
      <w:r>
        <w:rPr>
          <w:rFonts w:hint="eastAsia" w:ascii="仿宋" w:hAnsi="仿宋" w:eastAsia="仿宋" w:cs="仿宋"/>
          <w:color w:val="auto"/>
          <w:sz w:val="28"/>
          <w:szCs w:val="28"/>
          <w:highlight w:val="none"/>
          <w:u w:val="none"/>
          <w:lang w:val="en-US" w:eastAsia="zh-CN"/>
        </w:rPr>
        <w:t>得</w:t>
      </w:r>
      <w:r>
        <w:rPr>
          <w:rFonts w:hint="eastAsia" w:ascii="仿宋" w:hAnsi="仿宋" w:eastAsia="仿宋" w:cs="仿宋"/>
          <w:color w:val="auto"/>
          <w:sz w:val="28"/>
          <w:szCs w:val="28"/>
          <w:highlight w:val="none"/>
          <w:u w:val="none"/>
        </w:rPr>
        <w:t xml:space="preserve">资格情形的。 </w:t>
      </w:r>
    </w:p>
    <w:p w14:paraId="7D8CD811">
      <w:pPr>
        <w:keepNext w:val="0"/>
        <w:keepLines w:val="0"/>
        <w:pageBreakBefore w:val="0"/>
        <w:shd w:val="clear" w:color="auto" w:fill="auto"/>
        <w:kinsoku/>
        <w:overflowPunct/>
        <w:topLinePunct w:val="0"/>
        <w:autoSpaceDE/>
        <w:autoSpaceDN/>
        <w:bidi w:val="0"/>
        <w:adjustRightInd/>
        <w:snapToGrid/>
        <w:spacing w:line="440" w:lineRule="exact"/>
        <w:ind w:firstLine="560" w:firstLineChars="200"/>
        <w:textAlignment w:val="auto"/>
        <w:rPr>
          <w:rFonts w:hint="eastAsia"/>
          <w:color w:val="auto"/>
          <w:highlight w:val="none"/>
          <w:u w:val="none"/>
        </w:rPr>
      </w:pPr>
      <w:r>
        <w:rPr>
          <w:rFonts w:hint="eastAsia" w:ascii="仿宋" w:hAnsi="仿宋" w:eastAsia="仿宋" w:cs="仿宋"/>
          <w:color w:val="auto"/>
          <w:sz w:val="28"/>
          <w:szCs w:val="28"/>
          <w:highlight w:val="none"/>
          <w:u w:val="none"/>
          <w:lang w:val="en-US" w:eastAsia="zh-CN"/>
        </w:rPr>
        <w:t>9.3</w:t>
      </w:r>
      <w:r>
        <w:rPr>
          <w:rFonts w:hint="eastAsia" w:ascii="仿宋" w:hAnsi="仿宋" w:eastAsia="仿宋" w:cs="仿宋"/>
          <w:color w:val="auto"/>
          <w:sz w:val="28"/>
          <w:szCs w:val="28"/>
          <w:highlight w:val="none"/>
          <w:u w:val="none"/>
          <w:lang w:eastAsia="zh-CN"/>
        </w:rPr>
        <w:t>如竞投项目未能成功交易</w:t>
      </w:r>
      <w:r>
        <w:rPr>
          <w:rFonts w:hint="eastAsia" w:ascii="仿宋" w:hAnsi="仿宋" w:eastAsia="仿宋" w:cs="仿宋"/>
          <w:color w:val="auto"/>
          <w:sz w:val="28"/>
          <w:szCs w:val="28"/>
          <w:highlight w:val="none"/>
          <w:u w:val="none"/>
        </w:rPr>
        <w:t>，项目</w:t>
      </w:r>
      <w:r>
        <w:rPr>
          <w:rFonts w:hint="eastAsia" w:ascii="仿宋" w:hAnsi="仿宋" w:eastAsia="仿宋" w:cs="仿宋"/>
          <w:color w:val="auto"/>
          <w:sz w:val="28"/>
          <w:szCs w:val="28"/>
          <w:highlight w:val="none"/>
          <w:u w:val="none"/>
          <w:lang w:eastAsia="zh-CN"/>
        </w:rPr>
        <w:t>业主单位</w:t>
      </w:r>
      <w:r>
        <w:rPr>
          <w:rFonts w:hint="eastAsia" w:ascii="仿宋" w:hAnsi="仿宋" w:eastAsia="仿宋" w:cs="仿宋"/>
          <w:color w:val="auto"/>
          <w:sz w:val="28"/>
          <w:szCs w:val="28"/>
          <w:highlight w:val="none"/>
          <w:u w:val="none"/>
        </w:rPr>
        <w:t>可以申请重新组织本项目</w:t>
      </w:r>
      <w:r>
        <w:rPr>
          <w:rFonts w:hint="eastAsia" w:ascii="仿宋" w:hAnsi="仿宋" w:eastAsia="仿宋" w:cs="仿宋"/>
          <w:color w:val="auto"/>
          <w:sz w:val="28"/>
          <w:szCs w:val="28"/>
          <w:highlight w:val="none"/>
          <w:u w:val="none"/>
          <w:lang w:eastAsia="zh-CN"/>
        </w:rPr>
        <w:t>资产</w:t>
      </w:r>
      <w:r>
        <w:rPr>
          <w:rFonts w:hint="eastAsia" w:ascii="仿宋" w:hAnsi="仿宋" w:eastAsia="仿宋" w:cs="仿宋"/>
          <w:color w:val="auto"/>
          <w:sz w:val="28"/>
          <w:szCs w:val="28"/>
          <w:highlight w:val="none"/>
          <w:u w:val="none"/>
        </w:rPr>
        <w:t>交易</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简称“重启交易”</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原参与本项目交易但被取消竞投资格的竞投人和被取消竞得资格的竞得人不得再报名参与</w:t>
      </w:r>
      <w:r>
        <w:rPr>
          <w:rFonts w:hint="eastAsia" w:ascii="仿宋" w:hAnsi="仿宋" w:eastAsia="仿宋" w:cs="仿宋"/>
          <w:color w:val="auto"/>
          <w:sz w:val="28"/>
          <w:szCs w:val="28"/>
          <w:highlight w:val="none"/>
          <w:u w:val="none"/>
          <w:lang w:val="en-US" w:eastAsia="zh-CN"/>
        </w:rPr>
        <w:t>重启交易，项目业主单位亦有权拒绝其参与项目业主单位属下</w:t>
      </w:r>
      <w:r>
        <w:rPr>
          <w:rFonts w:hint="eastAsia" w:ascii="仿宋" w:hAnsi="仿宋" w:eastAsia="仿宋" w:cs="仿宋"/>
          <w:color w:val="auto"/>
          <w:sz w:val="28"/>
          <w:szCs w:val="28"/>
          <w:highlight w:val="none"/>
          <w:u w:val="none"/>
        </w:rPr>
        <w:t>其他项目的交易活动。</w:t>
      </w:r>
    </w:p>
    <w:p w14:paraId="501578B8">
      <w:pPr>
        <w:keepNext w:val="0"/>
        <w:keepLines w:val="0"/>
        <w:pageBreakBefore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0"/>
        <w:textAlignment w:val="auto"/>
        <w:rPr>
          <w:rFonts w:hint="eastAsia" w:ascii="宋体" w:hAnsi="宋体" w:eastAsia="宋体" w:cs="宋体"/>
          <w:color w:val="auto"/>
          <w:sz w:val="28"/>
          <w:szCs w:val="28"/>
          <w:highlight w:val="none"/>
          <w:u w:val="none"/>
        </w:rPr>
      </w:pPr>
      <w:r>
        <w:rPr>
          <w:rFonts w:hint="eastAsia" w:ascii="宋体" w:hAnsi="宋体" w:eastAsia="宋体" w:cs="宋体"/>
          <w:b/>
          <w:bCs/>
          <w:color w:val="auto"/>
          <w:sz w:val="28"/>
          <w:szCs w:val="28"/>
          <w:highlight w:val="none"/>
          <w:u w:val="none"/>
          <w:lang w:val="en-US" w:eastAsia="zh-CN"/>
        </w:rPr>
        <w:t>争议</w:t>
      </w:r>
      <w:r>
        <w:rPr>
          <w:rFonts w:hint="eastAsia" w:ascii="宋体" w:hAnsi="宋体" w:eastAsia="宋体" w:cs="宋体"/>
          <w:b/>
          <w:bCs/>
          <w:color w:val="auto"/>
          <w:sz w:val="28"/>
          <w:szCs w:val="28"/>
          <w:highlight w:val="none"/>
          <w:u w:val="none"/>
        </w:rPr>
        <w:t xml:space="preserve">处理原则 </w:t>
      </w:r>
    </w:p>
    <w:p w14:paraId="794C3660">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10.1</w:t>
      </w:r>
      <w:r>
        <w:rPr>
          <w:rFonts w:hint="eastAsia" w:ascii="仿宋" w:hAnsi="仿宋" w:eastAsia="仿宋" w:cs="仿宋"/>
          <w:color w:val="auto"/>
          <w:sz w:val="28"/>
          <w:szCs w:val="28"/>
          <w:highlight w:val="none"/>
          <w:u w:val="none"/>
        </w:rPr>
        <w:t>竞投人（</w:t>
      </w:r>
      <w:r>
        <w:rPr>
          <w:rFonts w:hint="eastAsia" w:ascii="仿宋" w:hAnsi="仿宋" w:eastAsia="仿宋" w:cs="仿宋"/>
          <w:color w:val="auto"/>
          <w:sz w:val="28"/>
          <w:szCs w:val="28"/>
          <w:highlight w:val="none"/>
          <w:u w:val="none"/>
          <w:lang w:val="en-US" w:eastAsia="zh-CN"/>
        </w:rPr>
        <w:t>含</w:t>
      </w:r>
      <w:r>
        <w:rPr>
          <w:rFonts w:hint="eastAsia" w:ascii="仿宋" w:hAnsi="仿宋" w:eastAsia="仿宋" w:cs="仿宋"/>
          <w:color w:val="auto"/>
          <w:sz w:val="28"/>
          <w:szCs w:val="28"/>
          <w:highlight w:val="none"/>
          <w:u w:val="none"/>
        </w:rPr>
        <w:t>竞得人）与项目</w:t>
      </w:r>
      <w:r>
        <w:rPr>
          <w:rFonts w:hint="eastAsia" w:ascii="仿宋" w:hAnsi="仿宋" w:eastAsia="仿宋" w:cs="仿宋"/>
          <w:color w:val="auto"/>
          <w:sz w:val="28"/>
          <w:szCs w:val="28"/>
          <w:highlight w:val="none"/>
          <w:u w:val="none"/>
          <w:lang w:eastAsia="zh-CN"/>
        </w:rPr>
        <w:t>业主单位</w:t>
      </w:r>
      <w:r>
        <w:rPr>
          <w:rFonts w:hint="eastAsia" w:ascii="仿宋" w:hAnsi="仿宋" w:eastAsia="仿宋" w:cs="仿宋"/>
          <w:color w:val="auto"/>
          <w:sz w:val="28"/>
          <w:szCs w:val="28"/>
          <w:highlight w:val="none"/>
          <w:u w:val="none"/>
        </w:rPr>
        <w:t>就本次交易事宜（包括交易保证金处理）</w:t>
      </w:r>
      <w:r>
        <w:rPr>
          <w:rFonts w:hint="eastAsia" w:ascii="仿宋" w:hAnsi="仿宋" w:eastAsia="仿宋" w:cs="仿宋"/>
          <w:color w:val="auto"/>
          <w:sz w:val="28"/>
          <w:szCs w:val="28"/>
          <w:highlight w:val="none"/>
          <w:u w:val="none"/>
          <w:lang w:val="en-US" w:eastAsia="zh-CN"/>
        </w:rPr>
        <w:t>产生</w:t>
      </w:r>
      <w:r>
        <w:rPr>
          <w:rFonts w:hint="eastAsia" w:ascii="仿宋" w:hAnsi="仿宋" w:eastAsia="仿宋" w:cs="仿宋"/>
          <w:color w:val="auto"/>
          <w:sz w:val="28"/>
          <w:szCs w:val="28"/>
          <w:highlight w:val="none"/>
          <w:u w:val="none"/>
        </w:rPr>
        <w:t>争议的，由竞投人（竞得人）与项目</w:t>
      </w:r>
      <w:r>
        <w:rPr>
          <w:rFonts w:hint="eastAsia" w:ascii="仿宋" w:hAnsi="仿宋" w:eastAsia="仿宋" w:cs="仿宋"/>
          <w:color w:val="auto"/>
          <w:sz w:val="28"/>
          <w:szCs w:val="28"/>
          <w:highlight w:val="none"/>
          <w:u w:val="none"/>
          <w:lang w:eastAsia="zh-CN"/>
        </w:rPr>
        <w:t>业主单位</w:t>
      </w:r>
      <w:r>
        <w:rPr>
          <w:rFonts w:hint="eastAsia" w:ascii="仿宋" w:hAnsi="仿宋" w:eastAsia="仿宋" w:cs="仿宋"/>
          <w:color w:val="auto"/>
          <w:sz w:val="28"/>
          <w:szCs w:val="28"/>
          <w:highlight w:val="none"/>
          <w:u w:val="none"/>
        </w:rPr>
        <w:t>自行协商解决，无法</w:t>
      </w:r>
      <w:r>
        <w:rPr>
          <w:rFonts w:hint="eastAsia" w:ascii="仿宋" w:hAnsi="仿宋" w:eastAsia="仿宋" w:cs="仿宋"/>
          <w:color w:val="auto"/>
          <w:sz w:val="28"/>
          <w:szCs w:val="28"/>
          <w:highlight w:val="none"/>
          <w:u w:val="none"/>
          <w:lang w:val="en-US" w:eastAsia="zh-CN"/>
        </w:rPr>
        <w:t>协商解决</w:t>
      </w:r>
      <w:r>
        <w:rPr>
          <w:rFonts w:hint="eastAsia" w:ascii="仿宋" w:hAnsi="仿宋" w:eastAsia="仿宋" w:cs="仿宋"/>
          <w:color w:val="auto"/>
          <w:sz w:val="28"/>
          <w:szCs w:val="28"/>
          <w:highlight w:val="none"/>
          <w:u w:val="none"/>
        </w:rPr>
        <w:t>的</w:t>
      </w:r>
      <w:r>
        <w:rPr>
          <w:rFonts w:hint="eastAsia" w:ascii="仿宋" w:hAnsi="仿宋" w:eastAsia="仿宋" w:cs="仿宋"/>
          <w:color w:val="auto"/>
          <w:sz w:val="28"/>
          <w:szCs w:val="28"/>
          <w:highlight w:val="none"/>
          <w:u w:val="none"/>
          <w:lang w:val="en-US" w:eastAsia="zh-CN"/>
        </w:rPr>
        <w:t>可</w:t>
      </w:r>
      <w:r>
        <w:rPr>
          <w:rFonts w:hint="eastAsia" w:ascii="仿宋" w:hAnsi="仿宋" w:eastAsia="仿宋" w:cs="仿宋"/>
          <w:color w:val="auto"/>
          <w:sz w:val="28"/>
          <w:szCs w:val="28"/>
          <w:highlight w:val="none"/>
          <w:u w:val="none"/>
        </w:rPr>
        <w:t>通过法律途径解决，与广州市番禺区农村集体资产交易管理中心无关。</w:t>
      </w:r>
    </w:p>
    <w:p w14:paraId="08E14EC2">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10.2《</w:t>
      </w:r>
      <w:r>
        <w:rPr>
          <w:rFonts w:hint="eastAsia" w:ascii="仿宋" w:hAnsi="仿宋" w:eastAsia="仿宋" w:cs="仿宋"/>
          <w:color w:val="auto"/>
          <w:sz w:val="28"/>
          <w:szCs w:val="28"/>
          <w:highlight w:val="none"/>
          <w:u w:val="none"/>
        </w:rPr>
        <w:t>交易公告</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及《交易文件》中载明的项目面积与实际面积</w:t>
      </w:r>
      <w:r>
        <w:rPr>
          <w:rFonts w:hint="eastAsia" w:ascii="仿宋" w:hAnsi="仿宋" w:eastAsia="仿宋" w:cs="仿宋"/>
          <w:color w:val="auto"/>
          <w:sz w:val="28"/>
          <w:szCs w:val="28"/>
          <w:highlight w:val="none"/>
          <w:u w:val="none"/>
          <w:lang w:val="en-US" w:eastAsia="zh-CN"/>
        </w:rPr>
        <w:t>误差值在±</w:t>
      </w:r>
      <w:r>
        <w:rPr>
          <w:rFonts w:hint="eastAsia" w:ascii="仿宋" w:hAnsi="仿宋" w:eastAsia="仿宋" w:cs="仿宋"/>
          <w:color w:val="auto"/>
          <w:sz w:val="28"/>
          <w:szCs w:val="28"/>
          <w:highlight w:val="none"/>
          <w:u w:val="none"/>
        </w:rPr>
        <w:t>5%（含5%）</w:t>
      </w:r>
      <w:r>
        <w:rPr>
          <w:rFonts w:hint="eastAsia" w:ascii="仿宋" w:hAnsi="仿宋" w:eastAsia="仿宋" w:cs="仿宋"/>
          <w:color w:val="auto"/>
          <w:sz w:val="28"/>
          <w:szCs w:val="28"/>
          <w:highlight w:val="none"/>
          <w:u w:val="none"/>
          <w:lang w:val="en-US" w:eastAsia="zh-CN"/>
        </w:rPr>
        <w:t>范围内</w:t>
      </w:r>
      <w:r>
        <w:rPr>
          <w:rFonts w:hint="eastAsia" w:ascii="仿宋" w:hAnsi="仿宋" w:eastAsia="仿宋" w:cs="仿宋"/>
          <w:color w:val="auto"/>
          <w:sz w:val="28"/>
          <w:szCs w:val="28"/>
          <w:highlight w:val="none"/>
          <w:u w:val="none"/>
        </w:rPr>
        <w:t>的</w:t>
      </w:r>
      <w:r>
        <w:rPr>
          <w:rFonts w:hint="eastAsia" w:ascii="仿宋" w:hAnsi="仿宋" w:eastAsia="仿宋" w:cs="仿宋"/>
          <w:color w:val="auto"/>
          <w:sz w:val="28"/>
          <w:szCs w:val="28"/>
          <w:highlight w:val="none"/>
          <w:u w:val="none"/>
          <w:lang w:val="en-US" w:eastAsia="zh-CN"/>
        </w:rPr>
        <w:t>属合理误差</w:t>
      </w:r>
      <w:r>
        <w:rPr>
          <w:rFonts w:hint="eastAsia" w:ascii="仿宋" w:hAnsi="仿宋" w:eastAsia="仿宋" w:cs="仿宋"/>
          <w:color w:val="auto"/>
          <w:sz w:val="28"/>
          <w:szCs w:val="28"/>
          <w:highlight w:val="none"/>
          <w:u w:val="none"/>
        </w:rPr>
        <w:t>，不影响交易结果。</w:t>
      </w:r>
      <w:r>
        <w:rPr>
          <w:rFonts w:hint="eastAsia" w:ascii="仿宋" w:hAnsi="仿宋" w:eastAsia="仿宋" w:cs="仿宋"/>
          <w:color w:val="auto"/>
          <w:sz w:val="28"/>
          <w:szCs w:val="28"/>
          <w:highlight w:val="none"/>
          <w:u w:val="none"/>
          <w:lang w:val="en-US" w:eastAsia="zh-CN"/>
        </w:rPr>
        <w:t>超出该范围</w:t>
      </w:r>
      <w:r>
        <w:rPr>
          <w:rFonts w:hint="eastAsia" w:ascii="仿宋" w:hAnsi="仿宋" w:eastAsia="仿宋" w:cs="仿宋"/>
          <w:color w:val="auto"/>
          <w:sz w:val="28"/>
          <w:szCs w:val="28"/>
          <w:highlight w:val="none"/>
          <w:u w:val="none"/>
        </w:rPr>
        <w:t>的，</w:t>
      </w:r>
      <w:r>
        <w:rPr>
          <w:rFonts w:hint="eastAsia" w:ascii="仿宋" w:hAnsi="仿宋" w:eastAsia="仿宋" w:cs="仿宋"/>
          <w:color w:val="auto"/>
          <w:sz w:val="28"/>
          <w:szCs w:val="28"/>
          <w:highlight w:val="none"/>
          <w:u w:val="none"/>
          <w:lang w:val="en-US" w:eastAsia="zh-CN"/>
        </w:rPr>
        <w:t>按合同约定</w:t>
      </w:r>
      <w:r>
        <w:rPr>
          <w:rFonts w:hint="eastAsia" w:ascii="仿宋" w:hAnsi="仿宋" w:eastAsia="仿宋" w:cs="仿宋"/>
          <w:color w:val="auto"/>
          <w:sz w:val="28"/>
          <w:szCs w:val="28"/>
          <w:highlight w:val="none"/>
          <w:u w:val="single"/>
          <w:lang w:val="en-US" w:eastAsia="zh-CN"/>
        </w:rPr>
        <w:t>或双方协商</w:t>
      </w:r>
      <w:r>
        <w:rPr>
          <w:rFonts w:hint="eastAsia" w:ascii="仿宋" w:hAnsi="仿宋" w:eastAsia="仿宋" w:cs="仿宋"/>
          <w:color w:val="auto"/>
          <w:sz w:val="28"/>
          <w:szCs w:val="28"/>
          <w:highlight w:val="none"/>
          <w:u w:val="none"/>
          <w:lang w:val="en-US" w:eastAsia="zh-CN"/>
        </w:rPr>
        <w:t>处理。</w:t>
      </w:r>
    </w:p>
    <w:p w14:paraId="5FB5B05A">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 xml:space="preserve">其他注意事项 </w:t>
      </w:r>
    </w:p>
    <w:p w14:paraId="6A422C8D">
      <w:pPr>
        <w:keepNext w:val="0"/>
        <w:keepLines w:val="0"/>
        <w:pageBreakBefore w:val="0"/>
        <w:widowControl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11.1</w:t>
      </w:r>
      <w:r>
        <w:rPr>
          <w:rFonts w:hint="eastAsia" w:ascii="仿宋" w:hAnsi="仿宋" w:eastAsia="仿宋" w:cs="仿宋"/>
          <w:color w:val="auto"/>
          <w:sz w:val="28"/>
          <w:szCs w:val="28"/>
          <w:highlight w:val="none"/>
          <w:u w:val="none"/>
        </w:rPr>
        <w:t>竞投</w:t>
      </w:r>
      <w:r>
        <w:rPr>
          <w:rFonts w:hint="eastAsia" w:ascii="仿宋" w:hAnsi="仿宋" w:eastAsia="仿宋" w:cs="仿宋"/>
          <w:strike w:val="0"/>
          <w:dstrike w:val="0"/>
          <w:color w:val="auto"/>
          <w:sz w:val="28"/>
          <w:szCs w:val="28"/>
          <w:highlight w:val="none"/>
          <w:u w:val="none"/>
        </w:rPr>
        <w:t>意向</w:t>
      </w:r>
      <w:r>
        <w:rPr>
          <w:rFonts w:hint="eastAsia" w:ascii="仿宋" w:hAnsi="仿宋" w:eastAsia="仿宋" w:cs="仿宋"/>
          <w:color w:val="auto"/>
          <w:sz w:val="28"/>
          <w:szCs w:val="28"/>
          <w:highlight w:val="none"/>
          <w:u w:val="none"/>
        </w:rPr>
        <w:t>人的竞投资格一经确认，无特殊情况不予撤回。</w:t>
      </w:r>
    </w:p>
    <w:p w14:paraId="2195A77B">
      <w:pPr>
        <w:keepNext w:val="0"/>
        <w:keepLines w:val="0"/>
        <w:pageBreakBefore w:val="0"/>
        <w:widowControl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11.2区</w:t>
      </w:r>
      <w:r>
        <w:rPr>
          <w:rFonts w:hint="eastAsia" w:ascii="仿宋" w:hAnsi="仿宋" w:eastAsia="仿宋" w:cs="仿宋"/>
          <w:color w:val="auto"/>
          <w:sz w:val="28"/>
          <w:szCs w:val="28"/>
          <w:highlight w:val="none"/>
          <w:u w:val="none"/>
          <w:lang w:eastAsia="zh-CN"/>
        </w:rPr>
        <w:t>交易中心</w:t>
      </w:r>
      <w:r>
        <w:rPr>
          <w:rFonts w:hint="eastAsia" w:ascii="仿宋" w:hAnsi="仿宋" w:eastAsia="仿宋" w:cs="仿宋"/>
          <w:color w:val="auto"/>
          <w:sz w:val="28"/>
          <w:szCs w:val="28"/>
          <w:highlight w:val="none"/>
          <w:u w:val="none"/>
        </w:rPr>
        <w:t>不向竞投人退还</w:t>
      </w:r>
      <w:r>
        <w:rPr>
          <w:rFonts w:hint="eastAsia" w:ascii="仿宋" w:hAnsi="仿宋" w:eastAsia="仿宋" w:cs="仿宋"/>
          <w:color w:val="auto"/>
          <w:sz w:val="28"/>
          <w:szCs w:val="28"/>
          <w:highlight w:val="none"/>
          <w:u w:val="none"/>
          <w:lang w:eastAsia="zh-CN"/>
        </w:rPr>
        <w:t>现场</w:t>
      </w:r>
      <w:r>
        <w:rPr>
          <w:rFonts w:hint="eastAsia" w:ascii="仿宋" w:hAnsi="仿宋" w:eastAsia="仿宋" w:cs="仿宋"/>
          <w:color w:val="auto"/>
          <w:sz w:val="28"/>
          <w:szCs w:val="28"/>
          <w:highlight w:val="none"/>
          <w:u w:val="none"/>
        </w:rPr>
        <w:t>报名</w:t>
      </w:r>
      <w:r>
        <w:rPr>
          <w:rFonts w:hint="eastAsia" w:ascii="仿宋" w:hAnsi="仿宋" w:eastAsia="仿宋" w:cs="仿宋"/>
          <w:color w:val="auto"/>
          <w:sz w:val="28"/>
          <w:szCs w:val="28"/>
          <w:highlight w:val="none"/>
          <w:u w:val="none"/>
          <w:lang w:eastAsia="zh-CN"/>
        </w:rPr>
        <w:t>审核</w:t>
      </w:r>
      <w:r>
        <w:rPr>
          <w:rFonts w:hint="eastAsia" w:ascii="仿宋" w:hAnsi="仿宋" w:eastAsia="仿宋" w:cs="仿宋"/>
          <w:color w:val="auto"/>
          <w:sz w:val="28"/>
          <w:szCs w:val="28"/>
          <w:highlight w:val="none"/>
          <w:u w:val="none"/>
        </w:rPr>
        <w:t>时所提交的所有资料。</w:t>
      </w:r>
    </w:p>
    <w:p w14:paraId="62AAF8CB">
      <w:pPr>
        <w:keepNext w:val="0"/>
        <w:keepLines w:val="0"/>
        <w:pageBreakBefore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11.3</w:t>
      </w:r>
      <w:r>
        <w:rPr>
          <w:rFonts w:hint="eastAsia" w:ascii="仿宋" w:hAnsi="仿宋" w:eastAsia="仿宋" w:cs="仿宋"/>
          <w:color w:val="auto"/>
          <w:sz w:val="28"/>
          <w:szCs w:val="28"/>
          <w:highlight w:val="none"/>
          <w:u w:val="none"/>
        </w:rPr>
        <w:t>竞投成功后，竞得人须按</w:t>
      </w:r>
      <w:r>
        <w:rPr>
          <w:rFonts w:hint="eastAsia" w:ascii="仿宋" w:hAnsi="仿宋" w:eastAsia="仿宋" w:cs="仿宋"/>
          <w:color w:val="auto"/>
          <w:sz w:val="28"/>
          <w:szCs w:val="28"/>
          <w:highlight w:val="none"/>
          <w:u w:val="none"/>
          <w:lang w:val="en-US" w:eastAsia="zh-CN"/>
        </w:rPr>
        <w:t>规</w:t>
      </w:r>
      <w:r>
        <w:rPr>
          <w:rFonts w:hint="eastAsia" w:ascii="仿宋" w:hAnsi="仿宋" w:eastAsia="仿宋" w:cs="仿宋"/>
          <w:color w:val="auto"/>
          <w:sz w:val="28"/>
          <w:szCs w:val="28"/>
          <w:highlight w:val="none"/>
          <w:u w:val="none"/>
        </w:rPr>
        <w:t>定履行其义务，否则相关责任由竞得人自行承担。</w:t>
      </w:r>
    </w:p>
    <w:p w14:paraId="40387A8A">
      <w:pPr>
        <w:keepNext w:val="0"/>
        <w:keepLines w:val="0"/>
        <w:pageBreakBefore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11.4</w:t>
      </w:r>
      <w:r>
        <w:rPr>
          <w:rFonts w:hint="eastAsia" w:ascii="仿宋" w:hAnsi="仿宋" w:eastAsia="仿宋" w:cs="仿宋"/>
          <w:color w:val="auto"/>
          <w:sz w:val="28"/>
          <w:szCs w:val="28"/>
          <w:highlight w:val="none"/>
          <w:u w:val="none"/>
        </w:rPr>
        <w:t>如因不可抗力等因素造成交易项目延期或者改期的，</w:t>
      </w:r>
      <w:r>
        <w:rPr>
          <w:rFonts w:hint="eastAsia" w:ascii="仿宋" w:hAnsi="仿宋" w:eastAsia="仿宋" w:cs="仿宋"/>
          <w:color w:val="auto"/>
          <w:sz w:val="28"/>
          <w:szCs w:val="28"/>
          <w:highlight w:val="none"/>
          <w:u w:val="none"/>
          <w:lang w:val="en-US" w:eastAsia="zh-CN"/>
        </w:rPr>
        <w:t>区</w:t>
      </w:r>
      <w:r>
        <w:rPr>
          <w:rFonts w:hint="eastAsia" w:ascii="仿宋" w:hAnsi="仿宋" w:eastAsia="仿宋" w:cs="仿宋"/>
          <w:color w:val="auto"/>
          <w:sz w:val="28"/>
          <w:szCs w:val="28"/>
          <w:highlight w:val="none"/>
          <w:u w:val="none"/>
          <w:lang w:eastAsia="zh-CN"/>
        </w:rPr>
        <w:t>交易中心</w:t>
      </w:r>
      <w:r>
        <w:rPr>
          <w:rFonts w:hint="eastAsia" w:ascii="仿宋" w:hAnsi="仿宋" w:eastAsia="仿宋" w:cs="仿宋"/>
          <w:color w:val="auto"/>
          <w:sz w:val="28"/>
          <w:szCs w:val="28"/>
          <w:highlight w:val="none"/>
          <w:u w:val="none"/>
        </w:rPr>
        <w:t>将在第一时间以包括但不限于</w:t>
      </w:r>
      <w:r>
        <w:rPr>
          <w:rFonts w:hint="eastAsia" w:ascii="仿宋" w:hAnsi="仿宋" w:eastAsia="仿宋" w:cs="仿宋"/>
          <w:color w:val="auto"/>
          <w:sz w:val="28"/>
          <w:szCs w:val="28"/>
          <w:highlight w:val="none"/>
          <w:u w:val="none"/>
          <w:lang w:eastAsia="zh-CN"/>
        </w:rPr>
        <w:t>网上通知</w:t>
      </w:r>
      <w:r>
        <w:rPr>
          <w:rFonts w:hint="eastAsia" w:ascii="仿宋" w:hAnsi="仿宋" w:eastAsia="仿宋" w:cs="仿宋"/>
          <w:color w:val="auto"/>
          <w:sz w:val="28"/>
          <w:szCs w:val="28"/>
          <w:highlight w:val="none"/>
          <w:u w:val="none"/>
        </w:rPr>
        <w:t>公告、</w:t>
      </w:r>
      <w:r>
        <w:rPr>
          <w:rFonts w:hint="eastAsia" w:ascii="仿宋" w:hAnsi="仿宋" w:eastAsia="仿宋" w:cs="仿宋"/>
          <w:color w:val="auto"/>
          <w:sz w:val="28"/>
          <w:szCs w:val="28"/>
          <w:highlight w:val="none"/>
          <w:u w:val="none"/>
          <w:lang w:eastAsia="zh-CN"/>
        </w:rPr>
        <w:t>公告栏公告、</w:t>
      </w:r>
      <w:r>
        <w:rPr>
          <w:rFonts w:hint="eastAsia" w:ascii="仿宋" w:hAnsi="仿宋" w:eastAsia="仿宋" w:cs="仿宋"/>
          <w:color w:val="auto"/>
          <w:sz w:val="28"/>
          <w:szCs w:val="28"/>
          <w:highlight w:val="none"/>
          <w:u w:val="none"/>
        </w:rPr>
        <w:t>电话、短信等形式告知所有竞投人或竞投</w:t>
      </w:r>
      <w:r>
        <w:rPr>
          <w:rFonts w:hint="eastAsia" w:ascii="仿宋" w:hAnsi="仿宋" w:eastAsia="仿宋" w:cs="仿宋"/>
          <w:strike w:val="0"/>
          <w:dstrike w:val="0"/>
          <w:color w:val="auto"/>
          <w:sz w:val="28"/>
          <w:szCs w:val="28"/>
          <w:highlight w:val="none"/>
          <w:u w:val="none"/>
        </w:rPr>
        <w:t>意向</w:t>
      </w:r>
      <w:r>
        <w:rPr>
          <w:rFonts w:hint="eastAsia" w:ascii="仿宋" w:hAnsi="仿宋" w:eastAsia="仿宋" w:cs="仿宋"/>
          <w:color w:val="auto"/>
          <w:sz w:val="28"/>
          <w:szCs w:val="28"/>
          <w:highlight w:val="none"/>
          <w:u w:val="none"/>
        </w:rPr>
        <w:t>人</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区</w:t>
      </w:r>
      <w:r>
        <w:rPr>
          <w:rFonts w:hint="eastAsia" w:ascii="仿宋" w:hAnsi="仿宋" w:eastAsia="仿宋" w:cs="仿宋"/>
          <w:color w:val="auto"/>
          <w:sz w:val="28"/>
          <w:szCs w:val="28"/>
          <w:highlight w:val="none"/>
          <w:u w:val="none"/>
          <w:lang w:eastAsia="zh-CN"/>
        </w:rPr>
        <w:t>交易中心</w:t>
      </w:r>
      <w:r>
        <w:rPr>
          <w:rFonts w:hint="eastAsia" w:ascii="仿宋" w:hAnsi="仿宋" w:eastAsia="仿宋" w:cs="仿宋"/>
          <w:color w:val="auto"/>
          <w:sz w:val="28"/>
          <w:szCs w:val="28"/>
          <w:highlight w:val="none"/>
          <w:u w:val="none"/>
        </w:rPr>
        <w:t>不对交易项目延期或改期可能造成的损失承担任何责任。</w:t>
      </w:r>
    </w:p>
    <w:p w14:paraId="086B8182">
      <w:pPr>
        <w:keepNext w:val="0"/>
        <w:keepLines w:val="0"/>
        <w:pageBreakBefore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default"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11.5</w:t>
      </w:r>
      <w:r>
        <w:rPr>
          <w:rFonts w:hint="default" w:ascii="仿宋" w:hAnsi="仿宋" w:eastAsia="仿宋" w:cs="仿宋"/>
          <w:color w:val="auto"/>
          <w:sz w:val="28"/>
          <w:szCs w:val="28"/>
          <w:highlight w:val="none"/>
          <w:u w:val="none"/>
        </w:rPr>
        <w:t>为确保交易活动的公开、公平、公正，请竞投人依法依规参加本次交易活动，做好相关报名信息的保密工作</w:t>
      </w:r>
      <w:r>
        <w:rPr>
          <w:rFonts w:hint="eastAsia" w:ascii="仿宋" w:hAnsi="仿宋" w:eastAsia="仿宋" w:cs="仿宋"/>
          <w:color w:val="auto"/>
          <w:sz w:val="28"/>
          <w:szCs w:val="28"/>
          <w:highlight w:val="none"/>
          <w:u w:val="none"/>
          <w:lang w:eastAsia="zh-CN"/>
        </w:rPr>
        <w:t>，</w:t>
      </w:r>
      <w:r>
        <w:rPr>
          <w:rFonts w:hint="default" w:ascii="仿宋" w:hAnsi="仿宋" w:eastAsia="仿宋" w:cs="仿宋"/>
          <w:color w:val="auto"/>
          <w:sz w:val="28"/>
          <w:szCs w:val="28"/>
          <w:highlight w:val="none"/>
          <w:u w:val="none"/>
        </w:rPr>
        <w:t>如采取不正当手段参加交易，一经核实，将被依法追究相应的法律责任。</w:t>
      </w:r>
    </w:p>
    <w:p w14:paraId="39DD86F2">
      <w:pPr>
        <w:keepNext w:val="0"/>
        <w:keepLines w:val="0"/>
        <w:pageBreakBefore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default"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11.6</w:t>
      </w:r>
      <w:r>
        <w:rPr>
          <w:rFonts w:hint="default" w:ascii="仿宋" w:hAnsi="仿宋" w:eastAsia="仿宋" w:cs="仿宋"/>
          <w:color w:val="auto"/>
          <w:sz w:val="28"/>
          <w:szCs w:val="28"/>
          <w:highlight w:val="none"/>
          <w:u w:val="none"/>
        </w:rPr>
        <w:t>如有任何组织或个人通过恐吓、威胁、金钱交易等手段要求竞投人放弃或退出交易活动，请竞投人保存好相关证据，并及时报警，一经核实，采取非法手段的有关人员将依法承担相应的责任。</w:t>
      </w:r>
    </w:p>
    <w:p w14:paraId="6C24224F">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 xml:space="preserve">免责条款 </w:t>
      </w:r>
    </w:p>
    <w:p w14:paraId="699AC1C6">
      <w:pPr>
        <w:keepNext w:val="0"/>
        <w:keepLines w:val="0"/>
        <w:pageBreakBefore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lang w:val="en-US" w:eastAsia="zh-CN"/>
        </w:rPr>
        <w:t>12.1</w:t>
      </w:r>
      <w:r>
        <w:rPr>
          <w:rFonts w:hint="default" w:ascii="仿宋" w:hAnsi="仿宋" w:eastAsia="仿宋" w:cs="仿宋"/>
          <w:color w:val="auto"/>
          <w:sz w:val="28"/>
          <w:szCs w:val="28"/>
          <w:highlight w:val="none"/>
          <w:u w:val="none"/>
        </w:rPr>
        <w:t>如因</w:t>
      </w:r>
      <w:r>
        <w:rPr>
          <w:rFonts w:hint="eastAsia" w:ascii="仿宋" w:hAnsi="仿宋" w:eastAsia="仿宋" w:cs="仿宋"/>
          <w:color w:val="auto"/>
          <w:sz w:val="28"/>
          <w:szCs w:val="28"/>
          <w:highlight w:val="none"/>
          <w:u w:val="none"/>
          <w:lang w:eastAsia="zh-CN"/>
        </w:rPr>
        <w:t>竞投人</w:t>
      </w:r>
      <w:r>
        <w:rPr>
          <w:rFonts w:hint="default" w:ascii="仿宋" w:hAnsi="仿宋" w:eastAsia="仿宋" w:cs="仿宋"/>
          <w:color w:val="auto"/>
          <w:sz w:val="28"/>
          <w:szCs w:val="28"/>
          <w:highlight w:val="none"/>
          <w:u w:val="none"/>
        </w:rPr>
        <w:t>所填写的信息不真实、不准确或不完整而造成注册账户无法激活交易，不按本规则的有关规定向交易机构交纳交易保证金等情况，导致无法交易，交易机构不承担任何责任。竞投人应对自己的注册账户信息保密，竞投人因使用的设备遭遇网络堵塞、病毒入侵及其软、硬件出现故障等个人原因，应承担其账户无法正常登陆、使用、出价或被攻击、被抢登、被盗、被冒用、被篡改、被注销等而造成的一切后果，</w:t>
      </w:r>
      <w:r>
        <w:rPr>
          <w:rFonts w:hint="eastAsia" w:ascii="仿宋" w:hAnsi="仿宋" w:eastAsia="仿宋" w:cs="仿宋"/>
          <w:color w:val="auto"/>
          <w:sz w:val="28"/>
          <w:szCs w:val="28"/>
          <w:highlight w:val="none"/>
          <w:u w:val="none"/>
          <w:lang w:eastAsia="zh-CN"/>
        </w:rPr>
        <w:t>区交易中心</w:t>
      </w:r>
      <w:r>
        <w:rPr>
          <w:rFonts w:hint="default" w:ascii="仿宋" w:hAnsi="仿宋" w:eastAsia="仿宋" w:cs="仿宋"/>
          <w:color w:val="auto"/>
          <w:sz w:val="28"/>
          <w:szCs w:val="28"/>
          <w:highlight w:val="none"/>
          <w:u w:val="none"/>
        </w:rPr>
        <w:t>不承担任何责任</w:t>
      </w:r>
      <w:r>
        <w:rPr>
          <w:rFonts w:hint="eastAsia" w:ascii="仿宋" w:hAnsi="仿宋" w:eastAsia="仿宋" w:cs="仿宋"/>
          <w:color w:val="auto"/>
          <w:sz w:val="28"/>
          <w:szCs w:val="28"/>
          <w:highlight w:val="none"/>
          <w:u w:val="none"/>
          <w:lang w:eastAsia="zh-CN"/>
        </w:rPr>
        <w:t>。</w:t>
      </w:r>
    </w:p>
    <w:p w14:paraId="152A0D86">
      <w:pPr>
        <w:keepNext w:val="0"/>
        <w:keepLines w:val="0"/>
        <w:pageBreakBefore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default"/>
          <w:color w:val="auto"/>
          <w:highlight w:val="none"/>
          <w:lang w:val="en-US" w:eastAsia="zh-CN"/>
        </w:rPr>
      </w:pPr>
      <w:r>
        <w:rPr>
          <w:rFonts w:hint="eastAsia" w:ascii="仿宋" w:hAnsi="仿宋" w:eastAsia="仿宋" w:cs="仿宋"/>
          <w:color w:val="auto"/>
          <w:sz w:val="28"/>
          <w:szCs w:val="28"/>
          <w:highlight w:val="none"/>
          <w:u w:val="none"/>
          <w:lang w:val="en-US" w:eastAsia="zh-CN"/>
        </w:rPr>
        <w:t>12.2交易保证金账户开立单位对交易保证金进行监管，对交易保证金的安全监管承担法律责任，不承担监管过程产生的除交易保证金安全监管责任以外的其他法律责任.</w:t>
      </w:r>
    </w:p>
    <w:p w14:paraId="790AFA8A">
      <w:pPr>
        <w:keepNext w:val="0"/>
        <w:keepLines w:val="0"/>
        <w:pageBreakBefore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default"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12.3</w:t>
      </w:r>
      <w:r>
        <w:rPr>
          <w:rFonts w:hint="default" w:ascii="仿宋" w:hAnsi="仿宋" w:eastAsia="仿宋" w:cs="仿宋"/>
          <w:color w:val="auto"/>
          <w:sz w:val="28"/>
          <w:szCs w:val="28"/>
          <w:highlight w:val="none"/>
          <w:u w:val="none"/>
        </w:rPr>
        <w:t xml:space="preserve"> 本 场 竞 投 活 动 的 相 关 信 息 在 广州市番禺区集体经济组织三资管理平台（网址地址：http://nclqyj.panyu.gd.cn/）或“广州市番禺农村集体资产交易”微信公众号发布，竞投人应予以关注，因意向方未及时关注信息而导致的一切后果由该意向方、竞投人、竞得人自行承担，本交易机构不承担任何责任。</w:t>
      </w:r>
    </w:p>
    <w:p w14:paraId="3005B7FE">
      <w:pPr>
        <w:keepNext w:val="0"/>
        <w:keepLines w:val="0"/>
        <w:pageBreakBefore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default"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12.4</w:t>
      </w:r>
      <w:r>
        <w:rPr>
          <w:rFonts w:hint="eastAsia" w:ascii="仿宋" w:hAnsi="仿宋" w:eastAsia="仿宋" w:cs="仿宋"/>
          <w:color w:val="auto"/>
          <w:sz w:val="28"/>
          <w:szCs w:val="28"/>
          <w:highlight w:val="none"/>
          <w:u w:val="none"/>
          <w:lang w:eastAsia="zh-CN"/>
        </w:rPr>
        <w:t>区交易中心、项目业主单位</w:t>
      </w:r>
      <w:r>
        <w:rPr>
          <w:rFonts w:hint="default" w:ascii="仿宋" w:hAnsi="仿宋" w:eastAsia="仿宋" w:cs="仿宋"/>
          <w:color w:val="auto"/>
          <w:sz w:val="28"/>
          <w:szCs w:val="28"/>
          <w:highlight w:val="none"/>
          <w:u w:val="none"/>
        </w:rPr>
        <w:t>不承担任何由于竞投人得人无法使用广州市番禺区集体经济组织三资管理平台（网址地址：http://nclqyj.panyu.gd.cn/）或“广州市番禺农村集体资产交易”微信公众号（包括但不限于不可抗力、软硬件故障、非法入侵、恶意攻击导致交易异常等）所造成的一切损失。</w:t>
      </w:r>
    </w:p>
    <w:p w14:paraId="0E520C8D">
      <w:pPr>
        <w:keepNext w:val="0"/>
        <w:keepLines w:val="0"/>
        <w:pageBreakBefore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default"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12.5</w:t>
      </w:r>
      <w:r>
        <w:rPr>
          <w:rFonts w:hint="default" w:ascii="仿宋" w:hAnsi="仿宋" w:eastAsia="仿宋" w:cs="仿宋"/>
          <w:color w:val="auto"/>
          <w:sz w:val="28"/>
          <w:szCs w:val="28"/>
          <w:highlight w:val="none"/>
          <w:u w:val="none"/>
        </w:rPr>
        <w:t>因系统故障导致网上竞投暂停，</w:t>
      </w:r>
      <w:r>
        <w:rPr>
          <w:rFonts w:hint="eastAsia" w:ascii="仿宋" w:hAnsi="仿宋" w:eastAsia="仿宋" w:cs="仿宋"/>
          <w:color w:val="auto"/>
          <w:sz w:val="28"/>
          <w:szCs w:val="28"/>
          <w:highlight w:val="none"/>
          <w:u w:val="none"/>
          <w:lang w:eastAsia="zh-CN"/>
        </w:rPr>
        <w:t>区交易中心</w:t>
      </w:r>
      <w:r>
        <w:rPr>
          <w:rFonts w:hint="default" w:ascii="仿宋" w:hAnsi="仿宋" w:eastAsia="仿宋" w:cs="仿宋"/>
          <w:color w:val="auto"/>
          <w:sz w:val="28"/>
          <w:szCs w:val="28"/>
          <w:highlight w:val="none"/>
          <w:u w:val="none"/>
        </w:rPr>
        <w:t>应及时通知竞投人，如故障发生前已报价的，该报价在竞投恢复后仍然有效，报价信息以广州市番禺区集体经济组织三资管理平台（网址地址：http://nclqyj.panyu.gd.cn/）网上竞投系统显示为准。如因系统故障未保存竞投报价数据的，恢复交易后从交易底价开始竞投。</w:t>
      </w:r>
    </w:p>
    <w:p w14:paraId="4D3B5CBE">
      <w:pPr>
        <w:keepNext w:val="0"/>
        <w:keepLines w:val="0"/>
        <w:pageBreakBefore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default"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12.6</w:t>
      </w:r>
      <w:r>
        <w:rPr>
          <w:rFonts w:hint="default" w:ascii="仿宋" w:hAnsi="仿宋" w:eastAsia="仿宋" w:cs="仿宋"/>
          <w:color w:val="auto"/>
          <w:sz w:val="28"/>
          <w:szCs w:val="28"/>
          <w:highlight w:val="none"/>
          <w:u w:val="none"/>
        </w:rPr>
        <w:t>因委托方或交易监督部门提出延期、撤销或暂停交易，或因不可抗力等原因造成交易延期、撤销或暂停，本交易机构不就竞投人的交易保证金利息、资金占用损失或其他损失承担赔偿责任。</w:t>
      </w:r>
    </w:p>
    <w:p w14:paraId="04F263AF">
      <w:pPr>
        <w:keepNext w:val="0"/>
        <w:keepLines w:val="0"/>
        <w:pageBreakBefore w:val="0"/>
        <w:shd w:val="clear" w:color="auto" w:fill="auto"/>
        <w:kinsoku/>
        <w:overflowPunct/>
        <w:topLinePunct w:val="0"/>
        <w:autoSpaceDE/>
        <w:autoSpaceDN/>
        <w:bidi w:val="0"/>
        <w:adjustRightInd/>
        <w:snapToGrid/>
        <w:spacing w:line="440" w:lineRule="exact"/>
        <w:ind w:left="122" w:leftChars="58" w:firstLine="560" w:firstLineChars="200"/>
        <w:textAlignment w:val="auto"/>
        <w:rPr>
          <w:rFonts w:hint="default"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12.7</w:t>
      </w:r>
      <w:r>
        <w:rPr>
          <w:rFonts w:hint="default" w:ascii="仿宋" w:hAnsi="仿宋" w:eastAsia="仿宋" w:cs="仿宋"/>
          <w:color w:val="auto"/>
          <w:sz w:val="28"/>
          <w:szCs w:val="28"/>
          <w:highlight w:val="none"/>
          <w:u w:val="none"/>
        </w:rPr>
        <w:t>竞投人因使用的设备遭遇其他竞投人人为攻击出现故障，导致无法参与正常竞价的，被攻击的竞投人可向所在地公安机关报案。</w:t>
      </w:r>
    </w:p>
    <w:p w14:paraId="7E162ECE">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40" w:lineRule="exact"/>
        <w:ind w:left="70" w:leftChars="0" w:firstLine="560" w:firstLineChars="200"/>
        <w:textAlignment w:val="auto"/>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 xml:space="preserve">解释权 </w:t>
      </w:r>
    </w:p>
    <w:p w14:paraId="4D3AAAEE">
      <w:pPr>
        <w:keepNext w:val="0"/>
        <w:keepLines w:val="0"/>
        <w:pageBreakBefore w:val="0"/>
        <w:widowControl w:val="0"/>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rPr>
        <w:t>本须知为</w:t>
      </w:r>
      <w:r>
        <w:rPr>
          <w:rFonts w:hint="eastAsia" w:ascii="仿宋" w:hAnsi="仿宋" w:eastAsia="仿宋" w:cs="仿宋"/>
          <w:color w:val="auto"/>
          <w:sz w:val="28"/>
          <w:szCs w:val="28"/>
          <w:highlight w:val="none"/>
          <w:u w:val="none"/>
          <w:lang w:val="en-US" w:eastAsia="zh-CN"/>
        </w:rPr>
        <w:t>项目</w:t>
      </w:r>
      <w:r>
        <w:rPr>
          <w:rFonts w:hint="eastAsia" w:ascii="仿宋" w:hAnsi="仿宋" w:eastAsia="仿宋" w:cs="仿宋"/>
          <w:color w:val="auto"/>
          <w:sz w:val="28"/>
          <w:szCs w:val="28"/>
          <w:highlight w:val="none"/>
          <w:u w:val="none"/>
        </w:rPr>
        <w:t>交易</w:t>
      </w:r>
      <w:r>
        <w:rPr>
          <w:rFonts w:hint="eastAsia" w:ascii="仿宋" w:hAnsi="仿宋" w:eastAsia="仿宋" w:cs="仿宋"/>
          <w:color w:val="auto"/>
          <w:sz w:val="28"/>
          <w:szCs w:val="28"/>
          <w:highlight w:val="none"/>
          <w:u w:val="none"/>
          <w:lang w:val="en-US" w:eastAsia="zh-CN"/>
        </w:rPr>
        <w:t>相关</w:t>
      </w:r>
      <w:r>
        <w:rPr>
          <w:rFonts w:hint="eastAsia" w:ascii="仿宋" w:hAnsi="仿宋" w:eastAsia="仿宋" w:cs="仿宋"/>
          <w:color w:val="auto"/>
          <w:sz w:val="28"/>
          <w:szCs w:val="28"/>
          <w:highlight w:val="none"/>
          <w:u w:val="none"/>
        </w:rPr>
        <w:t>文件的组成部分</w:t>
      </w:r>
      <w:r>
        <w:rPr>
          <w:rFonts w:hint="eastAsia" w:ascii="仿宋" w:hAnsi="仿宋" w:eastAsia="仿宋" w:cs="仿宋"/>
          <w:color w:val="auto"/>
          <w:sz w:val="28"/>
          <w:szCs w:val="28"/>
          <w:highlight w:val="none"/>
          <w:u w:val="none"/>
          <w:lang w:eastAsia="zh-CN"/>
        </w:rPr>
        <w:t>，未尽事宜以区交易中心解释为准。</w:t>
      </w:r>
    </w:p>
    <w:p w14:paraId="4D85F527">
      <w:pPr>
        <w:pStyle w:val="2"/>
        <w:keepNext w:val="0"/>
        <w:keepLines w:val="0"/>
        <w:pageBreakBefore w:val="0"/>
        <w:widowControl w:val="0"/>
        <w:shd w:val="clear" w:color="auto" w:fill="auto"/>
        <w:kinsoku/>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u w:val="none"/>
          <w:lang w:eastAsia="zh-CN"/>
        </w:rPr>
      </w:pPr>
    </w:p>
    <w:p w14:paraId="438DBD95">
      <w:pPr>
        <w:keepNext w:val="0"/>
        <w:keepLines w:val="0"/>
        <w:pageBreakBefore w:val="0"/>
        <w:widowControl w:val="0"/>
        <w:shd w:val="clear" w:color="auto" w:fill="auto"/>
        <w:kinsoku/>
        <w:wordWrap w:val="0"/>
        <w:overflowPunct/>
        <w:topLinePunct w:val="0"/>
        <w:autoSpaceDE/>
        <w:autoSpaceDN/>
        <w:bidi w:val="0"/>
        <w:adjustRightInd/>
        <w:snapToGrid/>
        <w:spacing w:line="440" w:lineRule="exact"/>
        <w:ind w:left="122" w:leftChars="58" w:firstLine="560" w:firstLineChars="200"/>
        <w:jc w:val="right"/>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广州市番禺区农村集体资产交易管理中心</w:t>
      </w:r>
    </w:p>
    <w:p w14:paraId="773CEABE">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1A44D"/>
    <w:multiLevelType w:val="singleLevel"/>
    <w:tmpl w:val="D401A44D"/>
    <w:lvl w:ilvl="0" w:tentative="0">
      <w:start w:val="1"/>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NWJmYmRlOTYwZDc5ZTVlODRmNzBlODkwNDMzNmEifQ=="/>
  </w:docVars>
  <w:rsids>
    <w:rsidRoot w:val="66CA7190"/>
    <w:rsid w:val="66CA7190"/>
    <w:rsid w:val="6BD90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9022</Words>
  <Characters>9510</Characters>
  <Lines>0</Lines>
  <Paragraphs>0</Paragraphs>
  <TotalTime>4</TotalTime>
  <ScaleCrop>false</ScaleCrop>
  <LinksUpToDate>false</LinksUpToDate>
  <CharactersWithSpaces>9567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2024-11-22T07:47:00Z</dcterms:created>
  <dc:creator>稀饭Fancy</dc:creator>
  <cp:lastModifiedBy>.古.</cp:lastModifiedBy>
  <dcterms:modified xsi:type="dcterms:W3CDTF">2025-04-02T02:20:40Z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7270FC211682417095FFBAD6E0431E1C_13</vt:lpwstr>
  </property>
</Properties>
</file>