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jc w:val="center"/>
        <w:textAlignment w:val="auto"/>
        <w:rPr>
          <w:rFonts w:hint="eastAsia" w:ascii="方正小标宋简体" w:hAnsi="方正小标宋简体" w:eastAsia="方正小标宋简体" w:cs="方正小标宋简体"/>
          <w:b w:val="0"/>
          <w:bCs w:val="0"/>
          <w:color w:val="auto"/>
          <w:sz w:val="44"/>
          <w:szCs w:val="44"/>
        </w:rPr>
      </w:pPr>
      <w:r>
        <w:rPr>
          <w:rFonts w:hint="eastAsia" w:ascii="方正小标宋简体" w:hAnsi="方正小标宋简体" w:eastAsia="方正小标宋简体" w:cs="方正小标宋简体"/>
          <w:b w:val="0"/>
          <w:bCs w:val="0"/>
          <w:color w:val="auto"/>
          <w:sz w:val="44"/>
          <w:szCs w:val="44"/>
        </w:rPr>
        <w:t>花坊简易仓库租赁合同</w:t>
      </w:r>
    </w:p>
    <w:p>
      <w:pPr>
        <w:keepNext w:val="0"/>
        <w:keepLines w:val="0"/>
        <w:pageBreakBefore w:val="0"/>
        <w:widowControl w:val="0"/>
        <w:kinsoku/>
        <w:wordWrap/>
        <w:overflowPunct/>
        <w:topLinePunct w:val="0"/>
        <w:autoSpaceDE/>
        <w:autoSpaceDN/>
        <w:bidi w:val="0"/>
        <w:adjustRightInd/>
        <w:snapToGrid/>
        <w:spacing w:after="240" w:line="400" w:lineRule="exact"/>
        <w:jc w:val="center"/>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合同号：新桥村（联社）</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出租方（甲方）：广州市番禺区大龙街新桥村股份合作经济社   </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法人代表：胡健光</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联系</w:t>
      </w:r>
      <w:r>
        <w:rPr>
          <w:rFonts w:hint="eastAsia" w:ascii="仿宋_GB2312" w:hAnsi="仿宋_GB2312" w:eastAsia="仿宋_GB2312" w:cs="仿宋_GB2312"/>
          <w:color w:val="auto"/>
          <w:sz w:val="32"/>
          <w:szCs w:val="32"/>
          <w:highlight w:val="none"/>
        </w:rPr>
        <w:t>地址：广州市番禺区大龙街市莲路新桥村段83号</w:t>
      </w:r>
    </w:p>
    <w:p>
      <w:pPr>
        <w:keepNext w:val="0"/>
        <w:keepLines w:val="0"/>
        <w:pageBreakBefore w:val="0"/>
        <w:widowControl w:val="0"/>
        <w:kinsoku/>
        <w:wordWrap/>
        <w:overflowPunct/>
        <w:topLinePunct w:val="0"/>
        <w:autoSpaceDE/>
        <w:autoSpaceDN/>
        <w:bidi w:val="0"/>
        <w:adjustRightInd/>
        <w:snapToGrid/>
        <w:spacing w:after="240" w:line="400" w:lineRule="exac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联系</w:t>
      </w:r>
      <w:r>
        <w:rPr>
          <w:rFonts w:hint="eastAsia" w:ascii="仿宋_GB2312" w:hAnsi="仿宋_GB2312" w:eastAsia="仿宋_GB2312" w:cs="仿宋_GB2312"/>
          <w:color w:val="auto"/>
          <w:sz w:val="32"/>
          <w:szCs w:val="32"/>
          <w:highlight w:val="none"/>
        </w:rPr>
        <w:t>电话：</w:t>
      </w:r>
      <w:r>
        <w:rPr>
          <w:rFonts w:hint="eastAsia" w:ascii="仿宋_GB2312" w:hAnsi="仿宋_GB2312" w:eastAsia="仿宋_GB2312" w:cs="仿宋_GB2312"/>
          <w:color w:val="auto"/>
          <w:sz w:val="32"/>
          <w:szCs w:val="32"/>
          <w:highlight w:val="none"/>
          <w:lang w:val="en-US" w:eastAsia="zh-CN"/>
        </w:rPr>
        <w:t>020-</w:t>
      </w:r>
      <w:r>
        <w:rPr>
          <w:rFonts w:hint="eastAsia" w:ascii="仿宋_GB2312" w:hAnsi="仿宋_GB2312" w:eastAsia="仿宋_GB2312" w:cs="仿宋_GB2312"/>
          <w:color w:val="auto"/>
          <w:sz w:val="32"/>
          <w:szCs w:val="32"/>
          <w:highlight w:val="none"/>
        </w:rPr>
        <w:t>84852668</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承租方（乙方）：</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统一社会信用代码/</w:t>
      </w:r>
      <w:r>
        <w:rPr>
          <w:rFonts w:hint="eastAsia" w:ascii="仿宋_GB2312" w:hAnsi="仿宋_GB2312" w:eastAsia="仿宋_GB2312" w:cs="仿宋_GB2312"/>
          <w:color w:val="auto"/>
          <w:sz w:val="32"/>
          <w:szCs w:val="32"/>
          <w:highlight w:val="none"/>
        </w:rPr>
        <w:t>身份证号码：</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法人代表：</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联系地址：</w:t>
      </w:r>
    </w:p>
    <w:p>
      <w:pPr>
        <w:keepNext w:val="0"/>
        <w:keepLines w:val="0"/>
        <w:pageBreakBefore w:val="0"/>
        <w:widowControl w:val="0"/>
        <w:kinsoku/>
        <w:wordWrap/>
        <w:overflowPunct/>
        <w:topLinePunct w:val="0"/>
        <w:autoSpaceDE/>
        <w:autoSpaceDN/>
        <w:bidi w:val="0"/>
        <w:adjustRightInd/>
        <w:snapToGrid/>
        <w:spacing w:after="240" w:line="400" w:lineRule="exac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联系</w:t>
      </w:r>
      <w:r>
        <w:rPr>
          <w:rFonts w:hint="eastAsia" w:ascii="仿宋_GB2312" w:hAnsi="仿宋_GB2312" w:eastAsia="仿宋_GB2312" w:cs="仿宋_GB2312"/>
          <w:color w:val="auto"/>
          <w:sz w:val="32"/>
          <w:szCs w:val="32"/>
          <w:highlight w:val="none"/>
        </w:rPr>
        <w:t>电话：</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val="0"/>
          <w:bCs w:val="0"/>
          <w:color w:val="auto"/>
          <w:sz w:val="32"/>
          <w:szCs w:val="32"/>
          <w:highlight w:val="none"/>
          <w:u w:val="none"/>
        </w:rPr>
        <w:t>根据《中华人民共和国</w:t>
      </w:r>
      <w:r>
        <w:rPr>
          <w:rFonts w:hint="eastAsia" w:ascii="仿宋_GB2312" w:hAnsi="仿宋_GB2312" w:eastAsia="仿宋_GB2312" w:cs="仿宋_GB2312"/>
          <w:b w:val="0"/>
          <w:bCs w:val="0"/>
          <w:color w:val="auto"/>
          <w:sz w:val="32"/>
          <w:szCs w:val="32"/>
          <w:highlight w:val="none"/>
          <w:u w:val="none"/>
          <w:lang w:eastAsia="zh-CN"/>
        </w:rPr>
        <w:t>民法典</w:t>
      </w:r>
      <w:r>
        <w:rPr>
          <w:rFonts w:hint="eastAsia" w:ascii="仿宋_GB2312" w:hAnsi="仿宋_GB2312" w:eastAsia="仿宋_GB2312" w:cs="仿宋_GB2312"/>
          <w:b w:val="0"/>
          <w:bCs w:val="0"/>
          <w:color w:val="auto"/>
          <w:sz w:val="32"/>
          <w:szCs w:val="32"/>
          <w:highlight w:val="none"/>
          <w:u w:val="none"/>
        </w:rPr>
        <w:t>》</w:t>
      </w:r>
      <w:r>
        <w:rPr>
          <w:rFonts w:hint="eastAsia" w:ascii="仿宋_GB2312" w:hAnsi="仿宋_GB2312" w:eastAsia="仿宋_GB2312" w:cs="仿宋_GB2312"/>
          <w:b w:val="0"/>
          <w:bCs w:val="0"/>
          <w:color w:val="auto"/>
          <w:sz w:val="32"/>
          <w:szCs w:val="32"/>
          <w:highlight w:val="none"/>
          <w:u w:val="none"/>
          <w:lang w:eastAsia="zh-CN"/>
        </w:rPr>
        <w:t>、</w:t>
      </w:r>
      <w:r>
        <w:rPr>
          <w:rFonts w:hint="eastAsia" w:ascii="仿宋_GB2312" w:hAnsi="仿宋_GB2312" w:eastAsia="仿宋_GB2312" w:cs="仿宋_GB2312"/>
          <w:b w:val="0"/>
          <w:bCs w:val="0"/>
          <w:color w:val="auto"/>
          <w:sz w:val="32"/>
          <w:szCs w:val="32"/>
          <w:highlight w:val="none"/>
          <w:u w:val="none"/>
        </w:rPr>
        <w:t>《广州市农村集体资产交易管理办法》、《广州市番禺区农村集体资产交易管理</w:t>
      </w:r>
      <w:r>
        <w:rPr>
          <w:rFonts w:hint="eastAsia" w:ascii="仿宋_GB2312" w:hAnsi="仿宋_GB2312" w:eastAsia="仿宋_GB2312" w:cs="仿宋_GB2312"/>
          <w:b w:val="0"/>
          <w:bCs w:val="0"/>
          <w:color w:val="auto"/>
          <w:sz w:val="32"/>
          <w:szCs w:val="32"/>
          <w:highlight w:val="none"/>
          <w:u w:val="none"/>
          <w:lang w:eastAsia="zh-CN"/>
        </w:rPr>
        <w:t>办法</w:t>
      </w:r>
      <w:r>
        <w:rPr>
          <w:rFonts w:hint="eastAsia" w:ascii="仿宋_GB2312" w:hAnsi="仿宋_GB2312" w:eastAsia="仿宋_GB2312" w:cs="仿宋_GB2312"/>
          <w:b w:val="0"/>
          <w:bCs w:val="0"/>
          <w:color w:val="auto"/>
          <w:sz w:val="32"/>
          <w:szCs w:val="32"/>
          <w:highlight w:val="none"/>
          <w:u w:val="none"/>
        </w:rPr>
        <w:t>》及相关法律</w:t>
      </w:r>
      <w:r>
        <w:rPr>
          <w:rFonts w:hint="eastAsia" w:ascii="仿宋_GB2312" w:hAnsi="仿宋_GB2312" w:eastAsia="仿宋_GB2312" w:cs="仿宋_GB2312"/>
          <w:b w:val="0"/>
          <w:bCs w:val="0"/>
          <w:color w:val="auto"/>
          <w:sz w:val="32"/>
          <w:szCs w:val="32"/>
          <w:highlight w:val="none"/>
          <w:u w:val="none"/>
          <w:lang w:eastAsia="zh-CN"/>
        </w:rPr>
        <w:t>、</w:t>
      </w:r>
      <w:r>
        <w:rPr>
          <w:rFonts w:hint="eastAsia" w:ascii="仿宋_GB2312" w:hAnsi="仿宋_GB2312" w:eastAsia="仿宋_GB2312" w:cs="仿宋_GB2312"/>
          <w:b w:val="0"/>
          <w:bCs w:val="0"/>
          <w:color w:val="auto"/>
          <w:sz w:val="32"/>
          <w:szCs w:val="32"/>
          <w:highlight w:val="none"/>
          <w:u w:val="none"/>
        </w:rPr>
        <w:t>法规的规定，甲乙双方</w:t>
      </w:r>
      <w:r>
        <w:rPr>
          <w:rFonts w:hint="eastAsia" w:ascii="仿宋_GB2312" w:hAnsi="仿宋_GB2312" w:eastAsia="仿宋_GB2312" w:cs="仿宋_GB2312"/>
          <w:b w:val="0"/>
          <w:bCs w:val="0"/>
          <w:color w:val="auto"/>
          <w:sz w:val="32"/>
          <w:szCs w:val="32"/>
          <w:highlight w:val="none"/>
          <w:u w:val="none"/>
          <w:lang w:eastAsia="zh-CN"/>
        </w:rPr>
        <w:t>在</w:t>
      </w:r>
      <w:r>
        <w:rPr>
          <w:rFonts w:hint="eastAsia" w:ascii="仿宋_GB2312" w:hAnsi="仿宋_GB2312" w:eastAsia="仿宋_GB2312" w:cs="仿宋_GB2312"/>
          <w:b w:val="0"/>
          <w:bCs w:val="0"/>
          <w:color w:val="auto"/>
          <w:sz w:val="32"/>
          <w:szCs w:val="32"/>
          <w:highlight w:val="none"/>
          <w:u w:val="none"/>
        </w:rPr>
        <w:t>平等互利、真诚合作的基础上，经友好协商，就</w:t>
      </w:r>
      <w:r>
        <w:rPr>
          <w:rFonts w:hint="eastAsia" w:ascii="仿宋_GB2312" w:hAnsi="仿宋_GB2312" w:eastAsia="仿宋_GB2312" w:cs="仿宋_GB2312"/>
          <w:b w:val="0"/>
          <w:bCs w:val="0"/>
          <w:color w:val="auto"/>
          <w:sz w:val="32"/>
          <w:szCs w:val="32"/>
          <w:highlight w:val="none"/>
          <w:u w:val="none"/>
          <w:lang w:eastAsia="zh-CN"/>
        </w:rPr>
        <w:t>租赁事宜</w:t>
      </w:r>
      <w:r>
        <w:rPr>
          <w:rFonts w:hint="eastAsia" w:ascii="仿宋_GB2312" w:hAnsi="仿宋_GB2312" w:eastAsia="仿宋_GB2312" w:cs="仿宋_GB2312"/>
          <w:b w:val="0"/>
          <w:bCs w:val="0"/>
          <w:color w:val="auto"/>
          <w:sz w:val="32"/>
          <w:szCs w:val="32"/>
          <w:highlight w:val="none"/>
          <w:u w:val="none"/>
        </w:rPr>
        <w:t>达成合同如下：</w:t>
      </w:r>
    </w:p>
    <w:p>
      <w:pPr>
        <w:keepNext w:val="0"/>
        <w:keepLines w:val="0"/>
        <w:pageBreakBefore w:val="0"/>
        <w:widowControl w:val="0"/>
        <w:kinsoku/>
        <w:wordWrap/>
        <w:overflowPunct/>
        <w:topLinePunct w:val="0"/>
        <w:autoSpaceDE/>
        <w:autoSpaceDN/>
        <w:bidi w:val="0"/>
        <w:adjustRightInd/>
        <w:snapToGrid/>
        <w:spacing w:before="120" w:line="400" w:lineRule="exact"/>
        <w:ind w:firstLine="640" w:firstLineChars="200"/>
        <w:textAlignment w:val="auto"/>
        <w:rPr>
          <w:rFonts w:hint="eastAsia" w:ascii="黑体" w:hAnsi="黑体" w:eastAsia="黑体" w:cs="黑体"/>
          <w:b w:val="0"/>
          <w:bCs w:val="0"/>
          <w:color w:val="auto"/>
          <w:sz w:val="32"/>
          <w:szCs w:val="32"/>
          <w:highlight w:val="none"/>
          <w:u w:val="none"/>
        </w:rPr>
      </w:pPr>
      <w:r>
        <w:rPr>
          <w:rFonts w:hint="eastAsia" w:ascii="黑体" w:hAnsi="黑体" w:eastAsia="黑体" w:cs="黑体"/>
          <w:b w:val="0"/>
          <w:bCs w:val="0"/>
          <w:color w:val="auto"/>
          <w:sz w:val="32"/>
          <w:szCs w:val="32"/>
          <w:highlight w:val="none"/>
          <w:u w:val="none"/>
        </w:rPr>
        <w:t>一、</w:t>
      </w:r>
      <w:r>
        <w:rPr>
          <w:rFonts w:hint="eastAsia" w:ascii="黑体" w:hAnsi="黑体" w:eastAsia="黑体" w:cs="黑体"/>
          <w:b w:val="0"/>
          <w:bCs w:val="0"/>
          <w:color w:val="auto"/>
          <w:sz w:val="32"/>
          <w:szCs w:val="32"/>
          <w:highlight w:val="none"/>
          <w:u w:val="none"/>
          <w:lang w:eastAsia="zh-CN"/>
        </w:rPr>
        <w:t>租赁物</w:t>
      </w:r>
      <w:r>
        <w:rPr>
          <w:rFonts w:hint="eastAsia" w:ascii="黑体" w:hAnsi="黑体" w:eastAsia="黑体" w:cs="黑体"/>
          <w:b w:val="0"/>
          <w:bCs w:val="0"/>
          <w:color w:val="auto"/>
          <w:sz w:val="32"/>
          <w:szCs w:val="32"/>
          <w:highlight w:val="none"/>
          <w:u w:val="none"/>
        </w:rPr>
        <w:t>基本情况</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eastAsia="zh-CN"/>
        </w:rPr>
      </w:pPr>
      <w:r>
        <w:rPr>
          <w:rFonts w:hint="eastAsia" w:ascii="仿宋_GB2312" w:hAnsi="仿宋_GB2312" w:eastAsia="仿宋_GB2312" w:cs="仿宋_GB2312"/>
          <w:b w:val="0"/>
          <w:bCs w:val="0"/>
          <w:color w:val="auto"/>
          <w:sz w:val="32"/>
          <w:szCs w:val="32"/>
          <w:highlight w:val="none"/>
          <w:u w:val="none"/>
          <w:lang w:val="en-US" w:eastAsia="zh-CN"/>
        </w:rPr>
        <w:t>1.</w:t>
      </w:r>
      <w:r>
        <w:rPr>
          <w:rFonts w:hint="eastAsia" w:ascii="仿宋_GB2312" w:hAnsi="仿宋_GB2312" w:eastAsia="仿宋_GB2312" w:cs="仿宋_GB2312"/>
          <w:b w:val="0"/>
          <w:bCs w:val="0"/>
          <w:color w:val="auto"/>
          <w:sz w:val="32"/>
          <w:szCs w:val="32"/>
          <w:highlight w:val="none"/>
          <w:u w:val="none"/>
          <w:lang w:eastAsia="zh-CN"/>
        </w:rPr>
        <w:t>甲方将位于大龙街新桥村荣华路39号的</w:t>
      </w:r>
      <w:r>
        <w:rPr>
          <w:rFonts w:hint="eastAsia" w:ascii="仿宋_GB2312" w:hAnsi="仿宋_GB2312" w:eastAsia="仿宋_GB2312" w:cs="仿宋_GB2312"/>
          <w:b w:val="0"/>
          <w:bCs w:val="0"/>
          <w:color w:val="auto"/>
          <w:sz w:val="32"/>
          <w:szCs w:val="32"/>
          <w:highlight w:val="none"/>
          <w:u w:val="none"/>
          <w:lang w:val="en-US" w:eastAsia="zh-CN"/>
        </w:rPr>
        <w:t>花坊简易仓库</w:t>
      </w:r>
      <w:r>
        <w:rPr>
          <w:rFonts w:hint="eastAsia" w:ascii="仿宋_GB2312" w:hAnsi="仿宋_GB2312" w:eastAsia="仿宋_GB2312" w:cs="仿宋_GB2312"/>
          <w:b w:val="0"/>
          <w:bCs w:val="0"/>
          <w:color w:val="auto"/>
          <w:sz w:val="32"/>
          <w:szCs w:val="32"/>
          <w:highlight w:val="none"/>
          <w:u w:val="none"/>
          <w:lang w:eastAsia="zh-CN"/>
        </w:rPr>
        <w:t>（以下简称：租赁物）出租给乙方，租赁面积共</w:t>
      </w:r>
      <w:r>
        <w:rPr>
          <w:rFonts w:hint="eastAsia" w:ascii="仿宋_GB2312" w:hAnsi="仿宋_GB2312" w:eastAsia="仿宋_GB2312" w:cs="仿宋_GB2312"/>
          <w:b w:val="0"/>
          <w:bCs w:val="0"/>
          <w:color w:val="auto"/>
          <w:sz w:val="32"/>
          <w:szCs w:val="32"/>
          <w:highlight w:val="none"/>
          <w:u w:val="none"/>
          <w:lang w:val="en-US" w:eastAsia="zh-CN"/>
        </w:rPr>
        <w:t>550</w:t>
      </w:r>
      <w:r>
        <w:rPr>
          <w:rFonts w:hint="eastAsia" w:ascii="仿宋_GB2312" w:hAnsi="仿宋_GB2312" w:eastAsia="仿宋_GB2312" w:cs="仿宋_GB2312"/>
          <w:b w:val="0"/>
          <w:bCs w:val="0"/>
          <w:color w:val="auto"/>
          <w:sz w:val="32"/>
          <w:szCs w:val="32"/>
          <w:highlight w:val="none"/>
          <w:u w:val="none"/>
          <w:lang w:eastAsia="zh-CN"/>
        </w:rPr>
        <w:t>平方米。（若实际测量面积与本合同约定的面积存在出入，以本合同约定的面积为租赁应缴款、基础设施维护费、卫生费的计算依据。）</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2.该租赁物未办理任何的报建手续，未取得房地产权证,未取得任何的政府批准建设文件。</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3.</w:t>
      </w:r>
      <w:r>
        <w:rPr>
          <w:rFonts w:hint="eastAsia" w:ascii="仿宋_GB2312" w:hAnsi="仿宋_GB2312" w:eastAsia="仿宋_GB2312" w:cs="仿宋_GB2312"/>
          <w:b w:val="0"/>
          <w:bCs w:val="0"/>
          <w:color w:val="auto"/>
          <w:sz w:val="32"/>
          <w:szCs w:val="32"/>
          <w:highlight w:val="none"/>
          <w:u w:val="none"/>
          <w:lang w:eastAsia="zh-CN"/>
        </w:rPr>
        <w:t>该租赁物的用途为仓库，仅限用于放置安全物品、物件。</w:t>
      </w:r>
      <w:r>
        <w:rPr>
          <w:rFonts w:hint="eastAsia" w:ascii="仿宋_GB2312" w:hAnsi="仿宋_GB2312" w:eastAsia="仿宋_GB2312" w:cs="仿宋_GB2312"/>
          <w:b w:val="0"/>
          <w:bCs w:val="0"/>
          <w:color w:val="auto"/>
          <w:sz w:val="32"/>
          <w:szCs w:val="32"/>
          <w:highlight w:val="none"/>
          <w:u w:val="none"/>
          <w:lang w:val="en-US" w:eastAsia="zh-CN"/>
        </w:rPr>
        <w:t>乙方不得在租赁物内开办石材、木材加工、金属焊料加工、水泥钢材、废品回收、网吧、棋牌、电子游戏室及散乱污等行业，严禁从事冷库用途。用途必须符合法律法规规定和合同约定，</w:t>
      </w:r>
      <w:r>
        <w:rPr>
          <w:rFonts w:hint="eastAsia" w:ascii="仿宋_GB2312" w:hAnsi="仿宋_GB2312" w:eastAsia="仿宋_GB2312" w:cs="仿宋_GB2312"/>
          <w:b w:val="0"/>
          <w:bCs w:val="0"/>
          <w:color w:val="auto"/>
          <w:sz w:val="32"/>
          <w:szCs w:val="32"/>
          <w:highlight w:val="none"/>
          <w:u w:val="none"/>
          <w:lang w:eastAsia="zh-CN"/>
        </w:rPr>
        <w:t>未经甲方书面同意，乙方不得擅自改变租赁物用途。</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eastAsia="zh-CN"/>
        </w:rPr>
      </w:pPr>
      <w:r>
        <w:rPr>
          <w:rFonts w:hint="eastAsia" w:ascii="仿宋_GB2312" w:hAnsi="仿宋_GB2312" w:eastAsia="仿宋_GB2312" w:cs="仿宋_GB2312"/>
          <w:b w:val="0"/>
          <w:bCs w:val="0"/>
          <w:color w:val="auto"/>
          <w:sz w:val="32"/>
          <w:szCs w:val="32"/>
          <w:highlight w:val="none"/>
          <w:u w:val="none"/>
          <w:lang w:val="en-US" w:eastAsia="zh-CN"/>
        </w:rPr>
        <w:t>4.</w:t>
      </w:r>
      <w:r>
        <w:rPr>
          <w:rFonts w:hint="eastAsia" w:ascii="仿宋_GB2312" w:hAnsi="仿宋_GB2312" w:eastAsia="仿宋_GB2312" w:cs="仿宋_GB2312"/>
          <w:b w:val="0"/>
          <w:bCs w:val="0"/>
          <w:color w:val="auto"/>
          <w:sz w:val="32"/>
          <w:szCs w:val="32"/>
          <w:highlight w:val="none"/>
          <w:u w:val="none"/>
          <w:lang w:eastAsia="zh-CN"/>
        </w:rPr>
        <w:t>乙方已经对上述租赁物进行实地考察，已经全面清楚了解并接受该租赁物的所有状况（包括但不限于权属、用途、规划、报建、消防、环保、供水、供电等情况），乙方同意按现状接收并承租使用。因该租赁物本身包括但不限于权属、用途、规划、报建、消防、环保、供水、供电等问题产生的风险和经济损失由乙方自行承担，乙方不得以此为由向甲方提出解约或要求甲方承担任何赔偿责任（包括但不限于装修、经营损失）。</w:t>
      </w:r>
    </w:p>
    <w:p>
      <w:pPr>
        <w:keepNext w:val="0"/>
        <w:keepLines w:val="0"/>
        <w:pageBreakBefore w:val="0"/>
        <w:widowControl w:val="0"/>
        <w:kinsoku/>
        <w:wordWrap/>
        <w:overflowPunct/>
        <w:topLinePunct w:val="0"/>
        <w:autoSpaceDE/>
        <w:autoSpaceDN/>
        <w:bidi w:val="0"/>
        <w:adjustRightInd/>
        <w:snapToGrid/>
        <w:spacing w:before="120" w:line="400" w:lineRule="exact"/>
        <w:ind w:firstLine="640" w:firstLineChars="200"/>
        <w:textAlignment w:val="auto"/>
        <w:rPr>
          <w:rFonts w:hint="eastAsia" w:ascii="黑体" w:hAnsi="黑体" w:eastAsia="黑体" w:cs="黑体"/>
          <w:b w:val="0"/>
          <w:bCs w:val="0"/>
          <w:color w:val="auto"/>
          <w:sz w:val="32"/>
          <w:szCs w:val="32"/>
          <w:highlight w:val="none"/>
          <w:u w:val="none"/>
          <w:lang w:eastAsia="zh-CN"/>
        </w:rPr>
      </w:pPr>
      <w:r>
        <w:rPr>
          <w:rFonts w:hint="eastAsia" w:ascii="黑体" w:hAnsi="黑体" w:eastAsia="黑体" w:cs="黑体"/>
          <w:b w:val="0"/>
          <w:bCs w:val="0"/>
          <w:color w:val="auto"/>
          <w:sz w:val="32"/>
          <w:szCs w:val="32"/>
          <w:highlight w:val="none"/>
          <w:u w:val="none"/>
          <w:lang w:eastAsia="zh-CN"/>
        </w:rPr>
        <w:t>二、租赁期限</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1.租赁期共7年零7个月，由2024年2月1日起至2031年8月31日止。</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2.租赁期满，乙方应如期返还租赁物。</w:t>
      </w:r>
    </w:p>
    <w:p>
      <w:pPr>
        <w:keepNext w:val="0"/>
        <w:keepLines w:val="0"/>
        <w:pageBreakBefore w:val="0"/>
        <w:widowControl w:val="0"/>
        <w:kinsoku/>
        <w:wordWrap/>
        <w:overflowPunct/>
        <w:topLinePunct w:val="0"/>
        <w:autoSpaceDE/>
        <w:autoSpaceDN/>
        <w:bidi w:val="0"/>
        <w:adjustRightInd/>
        <w:snapToGrid/>
        <w:spacing w:before="120" w:line="400" w:lineRule="exact"/>
        <w:ind w:firstLine="640" w:firstLineChars="200"/>
        <w:textAlignment w:val="auto"/>
        <w:rPr>
          <w:rFonts w:hint="eastAsia" w:ascii="黑体" w:hAnsi="黑体" w:eastAsia="黑体" w:cs="黑体"/>
          <w:b w:val="0"/>
          <w:bCs w:val="0"/>
          <w:color w:val="auto"/>
          <w:sz w:val="32"/>
          <w:szCs w:val="32"/>
          <w:highlight w:val="none"/>
          <w:u w:val="none"/>
          <w:lang w:eastAsia="zh-CN"/>
        </w:rPr>
      </w:pPr>
      <w:r>
        <w:rPr>
          <w:rFonts w:hint="eastAsia" w:ascii="黑体" w:hAnsi="黑体" w:eastAsia="黑体" w:cs="黑体"/>
          <w:b w:val="0"/>
          <w:bCs w:val="0"/>
          <w:color w:val="auto"/>
          <w:sz w:val="32"/>
          <w:szCs w:val="32"/>
          <w:highlight w:val="none"/>
          <w:u w:val="none"/>
          <w:lang w:eastAsia="zh-CN"/>
        </w:rPr>
        <w:t>三、租赁应缴款、基础设施维护费、卫生费的计算及支付方式</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1.甲、乙双方约定，以面积550平方米为基准，乙方按每月每平方米______元（其中：村民粮食款______元，配套设施管理费______元）（不含税款）计算缴交租赁应缴款，按每月每平方米0.5元（不含税款）计算缴交基础设施维护费，按每月每平方米0.30元（不含税款）计算缴交卫生费。</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租赁应缴款、基础设施维护费、卫生费每满两年递增一次，每次以上一月应缴纳金额为基础向上递增10%。</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bookmarkStart w:id="0" w:name="_GoBack"/>
      <w:r>
        <w:rPr>
          <w:rFonts w:hint="eastAsia" w:ascii="仿宋_GB2312" w:hAnsi="仿宋_GB2312" w:eastAsia="仿宋_GB2312" w:cs="仿宋_GB2312"/>
          <w:b w:val="0"/>
          <w:bCs w:val="0"/>
          <w:color w:val="auto"/>
          <w:sz w:val="32"/>
          <w:szCs w:val="32"/>
          <w:highlight w:val="none"/>
          <w:u w:val="none"/>
          <w:lang w:val="en-US" w:eastAsia="zh-CN"/>
        </w:rPr>
        <w:t>租赁应缴款、基础设施维护费、卫生费明细具体如下表：</w:t>
      </w:r>
    </w:p>
    <w:bookmarkEnd w:id="0"/>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i w:val="0"/>
          <w:iCs w:val="0"/>
          <w:caps w:val="0"/>
          <w:color w:val="auto"/>
          <w:spacing w:val="0"/>
          <w:sz w:val="32"/>
          <w:szCs w:val="32"/>
          <w:lang w:val="en-US" w:eastAsia="zh-CN"/>
        </w:rPr>
      </w:pPr>
      <w:r>
        <w:rPr>
          <w:rFonts w:hint="eastAsia" w:ascii="仿宋_GB2312" w:hAnsi="仿宋_GB2312" w:eastAsia="仿宋_GB2312" w:cs="仿宋_GB2312"/>
          <w:b w:val="0"/>
          <w:bCs w:val="0"/>
          <w:i w:val="0"/>
          <w:iCs w:val="0"/>
          <w:caps w:val="0"/>
          <w:color w:val="auto"/>
          <w:spacing w:val="0"/>
          <w:sz w:val="32"/>
          <w:szCs w:val="32"/>
          <w:lang w:val="en-US" w:eastAsia="zh-CN"/>
        </w:rPr>
        <w:object>
          <v:shape id="_x0000_i1025" o:spt="75" alt="" type="#_x0000_t75" style="height:195.75pt;width:403.5pt;" o:ole="t" filled="f" o:preferrelative="t" stroked="f" coordsize="21600,21600">
            <v:path/>
            <v:fill on="f" focussize="0,0"/>
            <v:stroke on="f"/>
            <v:imagedata r:id="rId6" o:title=""/>
            <o:lock v:ext="edit" aspectratio="t"/>
            <w10:wrap type="none"/>
            <w10:anchorlock/>
          </v:shape>
          <o:OLEObject Type="Embed" ProgID="Excel.Sheet.8" ShapeID="_x0000_i1025" DrawAspect="Content" ObjectID="_1468075725" r:id="rId5">
            <o:LockedField>false</o:LockedField>
          </o:OLEObject>
        </w:objec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i w:val="0"/>
          <w:iCs w:val="0"/>
          <w:caps w:val="0"/>
          <w:color w:val="auto"/>
          <w:spacing w:val="0"/>
          <w:sz w:val="32"/>
          <w:szCs w:val="32"/>
          <w:lang w:val="en-US" w:eastAsia="zh-CN"/>
        </w:rPr>
        <w:t>以上金额均不含税，</w:t>
      </w:r>
      <w:r>
        <w:rPr>
          <w:rFonts w:hint="eastAsia" w:ascii="仿宋_GB2312" w:hAnsi="仿宋_GB2312" w:eastAsia="仿宋_GB2312" w:cs="仿宋_GB2312"/>
          <w:b w:val="0"/>
          <w:bCs w:val="0"/>
          <w:color w:val="auto"/>
          <w:sz w:val="32"/>
          <w:szCs w:val="32"/>
          <w:highlight w:val="none"/>
          <w:u w:val="none"/>
          <w:lang w:val="en-US" w:eastAsia="zh-CN"/>
        </w:rPr>
        <w:t>甲方收取乙方款项时，仅向乙方开具收据。乙方如需甲方开具发票，甲方应配合开具发票，但因此导致甲方承担的税费，由乙方向甲方额外支付，税费须在开具发票之前支付。</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2.甲方由2024年2月1日起开始计算乙方租赁应缴款、基础设施维护费、卫生费，按月收取。乙方必须在每月10日前交清当月的租赁应缴款、基础设施维护费、卫生费给甲方。</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3.如卫生费遇政府调价或垃圾量增加，可按调整后价格计收。该费用只负责处理乙方在租赁物内产生的生活垃圾及租赁物外周边公共区域环境卫清洁、保洁。乙方生产经营、装修改造等所产生的工业垃圾、废弃物等由乙方自行处理。</w:t>
      </w:r>
    </w:p>
    <w:p>
      <w:pPr>
        <w:keepNext w:val="0"/>
        <w:keepLines w:val="0"/>
        <w:pageBreakBefore w:val="0"/>
        <w:widowControl w:val="0"/>
        <w:kinsoku/>
        <w:wordWrap/>
        <w:overflowPunct/>
        <w:topLinePunct w:val="0"/>
        <w:autoSpaceDE/>
        <w:autoSpaceDN/>
        <w:bidi w:val="0"/>
        <w:adjustRightInd/>
        <w:snapToGrid/>
        <w:spacing w:before="120" w:line="400" w:lineRule="exact"/>
        <w:ind w:firstLine="640" w:firstLineChars="200"/>
        <w:textAlignment w:val="auto"/>
        <w:rPr>
          <w:rFonts w:hint="eastAsia" w:ascii="黑体" w:hAnsi="黑体" w:eastAsia="黑体" w:cs="黑体"/>
          <w:b w:val="0"/>
          <w:bCs w:val="0"/>
          <w:color w:val="auto"/>
          <w:sz w:val="32"/>
          <w:szCs w:val="32"/>
          <w:highlight w:val="none"/>
          <w:u w:val="none"/>
          <w:lang w:val="en-US" w:eastAsia="zh-CN"/>
        </w:rPr>
      </w:pPr>
      <w:r>
        <w:rPr>
          <w:rFonts w:hint="eastAsia" w:ascii="黑体" w:hAnsi="黑体" w:eastAsia="黑体" w:cs="黑体"/>
          <w:b w:val="0"/>
          <w:bCs w:val="0"/>
          <w:color w:val="auto"/>
          <w:sz w:val="32"/>
          <w:szCs w:val="32"/>
          <w:highlight w:val="none"/>
          <w:u w:val="none"/>
          <w:lang w:val="en-US" w:eastAsia="zh-CN"/>
        </w:rPr>
        <w:t>四、水电供给及费用支付</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1.该租赁物不提供水电供给，由承租方自行办理水电配套。租赁物用电所需的报装费、工程费用、原材料、线道等一切费用均由承租方负责。</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2.租赁物内全部用水、用电工程及由此产生的一切费用由乙方负责。</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3.乙方如需对租赁物进行用电报装的，用电报装须以甲方名义申请，由此产生的一切费用包括但不限于报批手续费、施工费等均由乙方自行承担。</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4.乙方使用租赁物所发生的水电费、用水设施的维修保养更新费、用电设施及电房变压器的维修维护费等费用由乙方承担。</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5.乙方如涉及使用甲方提供的转供水、转供电的，乙方应根据实际用水量、用电量，按时向甲方缴交水电费。水电费每月结算一次，乙方应于每月10日前向甲方交清上月费用。</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6.乙方如涉及使用市政直供水、直供电的，相应费用全部由乙方承担，乙方应自行向相关部门缴纳费用。</w:t>
      </w:r>
    </w:p>
    <w:p>
      <w:pPr>
        <w:keepNext w:val="0"/>
        <w:keepLines w:val="0"/>
        <w:pageBreakBefore w:val="0"/>
        <w:widowControl w:val="0"/>
        <w:kinsoku/>
        <w:wordWrap/>
        <w:overflowPunct/>
        <w:topLinePunct w:val="0"/>
        <w:autoSpaceDE/>
        <w:autoSpaceDN/>
        <w:bidi w:val="0"/>
        <w:adjustRightInd/>
        <w:snapToGrid/>
        <w:spacing w:before="120" w:line="400" w:lineRule="exact"/>
        <w:ind w:firstLine="640" w:firstLineChars="200"/>
        <w:textAlignment w:val="auto"/>
        <w:rPr>
          <w:rFonts w:hint="eastAsia" w:ascii="黑体" w:hAnsi="黑体" w:eastAsia="黑体" w:cs="黑体"/>
          <w:b w:val="0"/>
          <w:bCs w:val="0"/>
          <w:color w:val="auto"/>
          <w:sz w:val="32"/>
          <w:szCs w:val="32"/>
          <w:highlight w:val="none"/>
          <w:u w:val="none"/>
          <w:lang w:val="en-US" w:eastAsia="zh-CN"/>
        </w:rPr>
      </w:pPr>
      <w:r>
        <w:rPr>
          <w:rFonts w:hint="eastAsia" w:ascii="黑体" w:hAnsi="黑体" w:eastAsia="黑体" w:cs="黑体"/>
          <w:b w:val="0"/>
          <w:bCs w:val="0"/>
          <w:color w:val="auto"/>
          <w:sz w:val="32"/>
          <w:szCs w:val="32"/>
          <w:highlight w:val="none"/>
          <w:u w:val="none"/>
          <w:lang w:val="en-US" w:eastAsia="zh-CN"/>
        </w:rPr>
        <w:t>五、合同履约保证金和其他费用</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1.甲、乙双方约定，将乙方参与本租赁物竞投时所交的交易保证金55,000.00元(大写：人民币伍万伍仟元整）自动转为合同履约保证金。租赁关系终止时，在乙方结清相关费用、返还租赁物并经甲方检查合格后5个工作日内，由甲方将合同履约保证金无息返还给乙方。</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default"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2.乙方使用租赁物所发生的燃气、通讯、网络等费用全部由乙方承担，乙方应自行向相关部门缴纳上述费用。</w:t>
      </w:r>
    </w:p>
    <w:p>
      <w:pPr>
        <w:keepNext w:val="0"/>
        <w:keepLines w:val="0"/>
        <w:pageBreakBefore w:val="0"/>
        <w:widowControl w:val="0"/>
        <w:kinsoku/>
        <w:wordWrap/>
        <w:overflowPunct/>
        <w:topLinePunct w:val="0"/>
        <w:autoSpaceDE/>
        <w:autoSpaceDN/>
        <w:bidi w:val="0"/>
        <w:adjustRightInd/>
        <w:snapToGrid/>
        <w:spacing w:before="120" w:line="400" w:lineRule="exact"/>
        <w:ind w:firstLine="640" w:firstLineChars="200"/>
        <w:textAlignment w:val="auto"/>
        <w:rPr>
          <w:rFonts w:hint="eastAsia" w:ascii="黑体" w:hAnsi="黑体" w:eastAsia="黑体" w:cs="黑体"/>
          <w:b w:val="0"/>
          <w:bCs w:val="0"/>
          <w:color w:val="auto"/>
          <w:sz w:val="32"/>
          <w:szCs w:val="32"/>
          <w:highlight w:val="none"/>
          <w:u w:val="none"/>
          <w:lang w:val="en-US" w:eastAsia="zh-CN"/>
        </w:rPr>
      </w:pPr>
      <w:r>
        <w:rPr>
          <w:rFonts w:hint="eastAsia" w:ascii="黑体" w:hAnsi="黑体" w:eastAsia="黑体" w:cs="黑体"/>
          <w:b w:val="0"/>
          <w:bCs w:val="0"/>
          <w:color w:val="auto"/>
          <w:sz w:val="32"/>
          <w:szCs w:val="32"/>
          <w:highlight w:val="none"/>
          <w:u w:val="none"/>
          <w:lang w:val="en-US" w:eastAsia="zh-CN"/>
        </w:rPr>
        <w:t>六、租赁物的使用要求</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1.租赁期内，租赁物的生产权、经营权及管理权由乙方负责，甲方只提供租赁物给乙方使用，乙方生产经营过程中产生的包括但不仅限于因违法经营、债权债务、劳资、工伤事故等导致的一切法律责任均由乙方自行承担。</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2.乙方应依照相关法律法规及政策要求，及时办理工商营业执照、排污证、排水证、排水单元达标等各项证照手续，由此产生的一切费用均由乙方自行承担。因租赁物未获取产权证明导致乙方无法办理上述相关证照手续的，甲方无需给予任何赔偿，乙方所发生的经营损失或对租赁物实际投入的费用，均由乙方自行承担。</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3.乙方应当严格按照相关法律法规的规定，自行办理消防、环保、卫生等验收手续，严格落实消防、环保、卫生、安全生产管理责任。否则因此造成的一切法律责任均由乙方应自行承担，如造成甲方损失的，甲方有权向乙方追偿或索赔。</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default"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4.租赁期内，乙方因包括但不限于办理证照手续、安全生产等需对租赁物进行房屋安全鉴定的，房屋安全鉴定工作由乙方负责，由此产生的一切费用均由乙方自行承担。</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5.租赁期内，乙方应当每年为租赁物购买财产综合险和第三者责任险，保险费用由乙方承担，被保险人应为甲方。乙方每年购买上述保险后，应提供保单复印件给甲方备份。因未购买保险造成的甲方损失，由乙方负责赔偿。</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6.乙方不得占用公共地方，不得占用消防通道。</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7.乙方不得在租赁物内放置重型机械及振动大等对租赁物结构有损害的设备，因乙方不当使用造成安全事故的，一切法律责任由乙方自行承担。</w:t>
      </w:r>
    </w:p>
    <w:p>
      <w:pPr>
        <w:keepNext w:val="0"/>
        <w:keepLines w:val="0"/>
        <w:pageBreakBefore w:val="0"/>
        <w:widowControl w:val="0"/>
        <w:kinsoku/>
        <w:wordWrap/>
        <w:overflowPunct/>
        <w:topLinePunct w:val="0"/>
        <w:autoSpaceDE/>
        <w:autoSpaceDN/>
        <w:bidi w:val="0"/>
        <w:adjustRightInd/>
        <w:snapToGrid/>
        <w:spacing w:before="120" w:line="400" w:lineRule="exact"/>
        <w:ind w:firstLine="640" w:firstLineChars="200"/>
        <w:textAlignment w:val="auto"/>
        <w:rPr>
          <w:rFonts w:hint="eastAsia" w:ascii="黑体" w:hAnsi="黑体" w:eastAsia="黑体" w:cs="黑体"/>
          <w:b w:val="0"/>
          <w:bCs w:val="0"/>
          <w:color w:val="auto"/>
          <w:sz w:val="32"/>
          <w:szCs w:val="32"/>
          <w:highlight w:val="none"/>
          <w:u w:val="none"/>
          <w:lang w:val="en-US" w:eastAsia="zh-CN"/>
        </w:rPr>
      </w:pPr>
      <w:r>
        <w:rPr>
          <w:rFonts w:hint="eastAsia" w:ascii="黑体" w:hAnsi="黑体" w:eastAsia="黑体" w:cs="黑体"/>
          <w:b w:val="0"/>
          <w:bCs w:val="0"/>
          <w:color w:val="auto"/>
          <w:sz w:val="32"/>
          <w:szCs w:val="32"/>
          <w:highlight w:val="none"/>
          <w:u w:val="none"/>
          <w:lang w:val="en-US" w:eastAsia="zh-CN"/>
        </w:rPr>
        <w:t>七、租赁物的装修、改造</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1.未征得甲方同意，乙方不准搭建任何建筑物，不准加建或改建租赁物。乙方擅自加建或改建租赁物的，建设过程中及建设后产生的一切费用和法律责任均由乙方承担。</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2.租赁期内，乙方需要对租赁物重新装修涉及房屋结构变化的，必须提前7天提交书面方案向甲方报备，经甲方审核同意后方可实施。如施工需要报有关部门审批的，报批手续由乙方负责。重新装修产生的包括但不仅限于报批手续费、施工费等一切费用由乙方承担。因乙方擅自施工或施工过程中产生的一切法律责任均由乙方自行承担。</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3.租赁期内，乙方承担租赁物的维修保养责任，由此产生的一切法律责任由乙方承担。维修保养的一切费用由乙方自行负责。</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4.租赁期内，乙方在租赁物内添附相关设施和设备产生的一切费用和法律责任均由乙方承担。</w:t>
      </w:r>
    </w:p>
    <w:p>
      <w:pPr>
        <w:keepNext w:val="0"/>
        <w:keepLines w:val="0"/>
        <w:pageBreakBefore w:val="0"/>
        <w:widowControl w:val="0"/>
        <w:kinsoku/>
        <w:wordWrap/>
        <w:overflowPunct/>
        <w:topLinePunct w:val="0"/>
        <w:autoSpaceDE/>
        <w:autoSpaceDN/>
        <w:bidi w:val="0"/>
        <w:adjustRightInd/>
        <w:snapToGrid/>
        <w:spacing w:before="120" w:line="400" w:lineRule="exact"/>
        <w:ind w:firstLine="640" w:firstLineChars="200"/>
        <w:textAlignment w:val="auto"/>
        <w:rPr>
          <w:rFonts w:hint="eastAsia" w:ascii="黑体" w:hAnsi="黑体" w:eastAsia="黑体" w:cs="黑体"/>
          <w:b w:val="0"/>
          <w:bCs w:val="0"/>
          <w:color w:val="auto"/>
          <w:sz w:val="32"/>
          <w:szCs w:val="32"/>
          <w:highlight w:val="none"/>
          <w:u w:val="none"/>
          <w:lang w:val="en-US" w:eastAsia="zh-CN"/>
        </w:rPr>
      </w:pPr>
      <w:r>
        <w:rPr>
          <w:rFonts w:hint="eastAsia" w:ascii="黑体" w:hAnsi="黑体" w:eastAsia="黑体" w:cs="黑体"/>
          <w:b w:val="0"/>
          <w:bCs w:val="0"/>
          <w:color w:val="auto"/>
          <w:sz w:val="32"/>
          <w:szCs w:val="32"/>
          <w:highlight w:val="none"/>
          <w:u w:val="none"/>
          <w:lang w:val="en-US" w:eastAsia="zh-CN"/>
        </w:rPr>
        <w:t>八、安全责任条款</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1.租赁期间，乙方是租赁物的安全责任人，乙方必须保证安全经营、安全生产，积极配合甲方的安全检查，并配合甲方对检查出的安全隐患进行整改。</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default"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2.乙方应认真做好安全生产事故预防工作。由于管理不严、防范工作不落实所发生的安全生产事故或案件，由乙方承担责任。由于乙方发生安全生产事故和案件导致甲方遭受损失的，乙方应当赔偿甲方因此产生的全部损失。</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3.租赁期内，租赁物的用电安全责任由乙方负责，租赁物内用电线路安装、设备设施安装等要严格按用电规范进行，安装施工前乙方必须提前7天提交书面方案经甲方审核备案同意后才能进行，由乙方负责日常维护。</w:t>
      </w:r>
    </w:p>
    <w:p>
      <w:pPr>
        <w:keepNext w:val="0"/>
        <w:keepLines w:val="0"/>
        <w:pageBreakBefore w:val="0"/>
        <w:widowControl w:val="0"/>
        <w:kinsoku/>
        <w:wordWrap/>
        <w:overflowPunct/>
        <w:topLinePunct w:val="0"/>
        <w:autoSpaceDE/>
        <w:autoSpaceDN/>
        <w:bidi w:val="0"/>
        <w:adjustRightInd/>
        <w:snapToGrid/>
        <w:spacing w:before="120" w:line="400" w:lineRule="exact"/>
        <w:ind w:firstLine="640" w:firstLineChars="200"/>
        <w:textAlignment w:val="auto"/>
        <w:rPr>
          <w:rFonts w:hint="eastAsia" w:ascii="黑体" w:hAnsi="黑体" w:eastAsia="黑体" w:cs="黑体"/>
          <w:b w:val="0"/>
          <w:bCs w:val="0"/>
          <w:color w:val="auto"/>
          <w:sz w:val="32"/>
          <w:szCs w:val="32"/>
          <w:highlight w:val="none"/>
          <w:u w:val="none"/>
          <w:lang w:val="en-US" w:eastAsia="zh-CN"/>
        </w:rPr>
      </w:pPr>
      <w:r>
        <w:rPr>
          <w:rFonts w:hint="eastAsia" w:ascii="黑体" w:hAnsi="黑体" w:eastAsia="黑体" w:cs="黑体"/>
          <w:b w:val="0"/>
          <w:bCs w:val="0"/>
          <w:color w:val="auto"/>
          <w:sz w:val="32"/>
          <w:szCs w:val="32"/>
          <w:highlight w:val="none"/>
          <w:u w:val="none"/>
          <w:lang w:val="en-US" w:eastAsia="zh-CN"/>
        </w:rPr>
        <w:t>九、转租、分租</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1.租赁期内，乙方转租、分租的须经甲方书面同意，且转租、分租合同年限不能超过本合同年限，否则，乙方与第三人所签合同（协议）的全部责任由乙方自行承担。</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2.租赁期内，如乙方需要转让合同权利义务（变更承租方），由乙方提供新的承租方的身份信息给甲方，经甲方审定并书面同意变更后，由乙方和新承租方共同到甲方地址所在处办理变更租约手续。乙方按变更时当月一个月的租赁应缴款计算缴交变更手续费给甲方后，由甲方与新的承租方重新签订租赁合同。</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default"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3.租赁期内，若乙方将租赁物转租、分租的，乙方向租赁物内任一分租户一次性收取租赁应缴款的期数不得超过乙方向甲方实际支付租赁应缴款的期数（即一期），否则，乙方需同时向甲方支付同等期数的租赁应缴款。</w:t>
      </w:r>
    </w:p>
    <w:p>
      <w:pPr>
        <w:keepNext w:val="0"/>
        <w:keepLines w:val="0"/>
        <w:pageBreakBefore w:val="0"/>
        <w:widowControl w:val="0"/>
        <w:kinsoku/>
        <w:wordWrap/>
        <w:overflowPunct/>
        <w:topLinePunct w:val="0"/>
        <w:autoSpaceDE/>
        <w:autoSpaceDN/>
        <w:bidi w:val="0"/>
        <w:adjustRightInd/>
        <w:snapToGrid/>
        <w:spacing w:before="120" w:line="400" w:lineRule="exact"/>
        <w:ind w:firstLine="640" w:firstLineChars="200"/>
        <w:textAlignment w:val="auto"/>
        <w:rPr>
          <w:rFonts w:hint="eastAsia" w:ascii="黑体" w:hAnsi="黑体" w:eastAsia="黑体" w:cs="黑体"/>
          <w:b w:val="0"/>
          <w:bCs w:val="0"/>
          <w:color w:val="auto"/>
          <w:sz w:val="32"/>
          <w:szCs w:val="32"/>
          <w:highlight w:val="none"/>
          <w:u w:val="none"/>
          <w:lang w:val="en-US" w:eastAsia="zh-CN"/>
        </w:rPr>
      </w:pPr>
      <w:r>
        <w:rPr>
          <w:rFonts w:hint="eastAsia" w:ascii="黑体" w:hAnsi="黑体" w:eastAsia="黑体" w:cs="黑体"/>
          <w:b w:val="0"/>
          <w:bCs w:val="0"/>
          <w:color w:val="auto"/>
          <w:sz w:val="32"/>
          <w:szCs w:val="32"/>
          <w:highlight w:val="none"/>
          <w:u w:val="none"/>
          <w:lang w:val="en-US" w:eastAsia="zh-CN"/>
        </w:rPr>
        <w:t>十、租赁物的征收及收回</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1.租赁期内，租赁物如被政府强制拆除或合同被宣告无效，乙方应按租赁应缴款标准向甲方支付占有使用费。乙方所产生的经营损失或装修、维护、修缮等产生的实际投入费用，均由乙方自行承担，甲方无需给予任何赔偿。</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2.租赁期内，如上级政府征收土地、租赁物，合同立即终止，甲、乙双方互不承担违约责任。政府对租赁物、土地、供水、供电设施、停产停业损失以及其他奖励款项归甲方所有。对乙方投资的装修、机器设备设施补偿、搬迁费用归乙方所有。乙方不得向甲方要求返还已支付的租金，但甲方应将合同履约保证金无息返还给乙方。</w:t>
      </w:r>
    </w:p>
    <w:p>
      <w:pPr>
        <w:keepNext w:val="0"/>
        <w:keepLines w:val="0"/>
        <w:pageBreakBefore w:val="0"/>
        <w:widowControl w:val="0"/>
        <w:kinsoku/>
        <w:wordWrap/>
        <w:overflowPunct/>
        <w:topLinePunct w:val="0"/>
        <w:autoSpaceDE/>
        <w:autoSpaceDN/>
        <w:bidi w:val="0"/>
        <w:adjustRightInd/>
        <w:snapToGrid/>
        <w:spacing w:before="120" w:line="400" w:lineRule="exact"/>
        <w:ind w:firstLine="640" w:firstLineChars="200"/>
        <w:textAlignment w:val="auto"/>
        <w:rPr>
          <w:rFonts w:hint="eastAsia" w:ascii="黑体" w:hAnsi="黑体" w:eastAsia="黑体" w:cs="黑体"/>
          <w:b w:val="0"/>
          <w:bCs w:val="0"/>
          <w:color w:val="auto"/>
          <w:sz w:val="32"/>
          <w:szCs w:val="32"/>
          <w:highlight w:val="none"/>
          <w:u w:val="none"/>
          <w:lang w:val="en-US" w:eastAsia="zh-CN"/>
        </w:rPr>
      </w:pPr>
      <w:r>
        <w:rPr>
          <w:rFonts w:hint="eastAsia" w:ascii="黑体" w:hAnsi="黑体" w:eastAsia="黑体" w:cs="黑体"/>
          <w:b w:val="0"/>
          <w:bCs w:val="0"/>
          <w:color w:val="auto"/>
          <w:sz w:val="32"/>
          <w:szCs w:val="32"/>
          <w:highlight w:val="none"/>
          <w:u w:val="none"/>
          <w:lang w:val="en-US" w:eastAsia="zh-CN"/>
        </w:rPr>
        <w:t>十一、租赁物的返还</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1.乙方应在合同期满或解除后5日内交还租赁物。</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2.乙方逾期返还租赁物的，应按本合同最后一个月租赁应缴款的三倍向甲方支付占用期间的使用费。逾期超过30天的，视为乙方自动放弃租赁物及其附着物的所有物品的所有权，甲方有权自行处置该物品，如其中包含、涉及他人物品或权益的，由乙方承担全部责任。甲方自行清理或聘请第三方清理引起的一切费用将由乙方承担。同时，甲方有权采取停水停电措施直至乙方迁出时止，由此造成乙方损失由乙方自行承担。</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3.乙方返还租赁物和有关设施设备，应当符合正常使用后的状态。返还时，租赁物及其墙上的附着物（包括乙方出资兴建的所有建筑物、所安装的变压器及其他一切供电设施、供水设施、电梯、开关制箱、灯具、通风排气设施等，生产设备、冷气设施除外）无偿归甲方所有，乙方应当根据甲方要求保留或拆除装饰装修物或设备设施，不得擅自拆除。乙方返还租赁物时未根据甲方要求保留或拆除装饰装修物或设备设施，造成租赁物毁损的，应当恢复原状或者按第三方评估进行赔偿。</w:t>
      </w:r>
    </w:p>
    <w:p>
      <w:pPr>
        <w:keepNext w:val="0"/>
        <w:keepLines w:val="0"/>
        <w:pageBreakBefore w:val="0"/>
        <w:widowControl w:val="0"/>
        <w:kinsoku/>
        <w:wordWrap/>
        <w:overflowPunct/>
        <w:topLinePunct w:val="0"/>
        <w:autoSpaceDE/>
        <w:autoSpaceDN/>
        <w:bidi w:val="0"/>
        <w:adjustRightInd/>
        <w:snapToGrid/>
        <w:spacing w:before="120" w:line="400" w:lineRule="exact"/>
        <w:ind w:firstLine="640" w:firstLineChars="200"/>
        <w:textAlignment w:val="auto"/>
        <w:rPr>
          <w:rFonts w:hint="eastAsia" w:ascii="黑体" w:hAnsi="黑体" w:eastAsia="黑体" w:cs="黑体"/>
          <w:b w:val="0"/>
          <w:bCs w:val="0"/>
          <w:color w:val="auto"/>
          <w:sz w:val="32"/>
          <w:szCs w:val="32"/>
          <w:highlight w:val="none"/>
          <w:u w:val="none"/>
          <w:lang w:val="en-US" w:eastAsia="zh-CN"/>
        </w:rPr>
      </w:pPr>
      <w:r>
        <w:rPr>
          <w:rFonts w:hint="eastAsia" w:ascii="黑体" w:hAnsi="黑体" w:eastAsia="黑体" w:cs="黑体"/>
          <w:b w:val="0"/>
          <w:bCs w:val="0"/>
          <w:color w:val="auto"/>
          <w:sz w:val="32"/>
          <w:szCs w:val="32"/>
          <w:highlight w:val="none"/>
          <w:u w:val="none"/>
          <w:lang w:val="en-US" w:eastAsia="zh-CN"/>
        </w:rPr>
        <w:t>十二、合同的解除</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1.甲、乙双方同意在租赁期内，有下列情形之一的，本合同终止，双方互不承担责任：</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（1）租赁物占用范围内的土地使用权依法提前收回的；</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（2）租赁物因社会公共利益被依法征用的；</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（3）租赁物因城市建设需要被依法列入房屋拆迁许可范围的；</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（4）租赁物在租赁期内被鉴定为危房；</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（5）因不可抗力致使本合同不能履行；</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2.乙方有下列情形之一的，视为根本违约，甲方有权解除合同：</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（1）未足额交付合同履约保证金的；</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（2）逾期支付租赁应缴款及其他费用累计超过20天的；</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（3）与第三人发生纠纷（包括但不限于劳资、工伤、安全事故纠纷），未及时依法处理，造成甲方损失或垫付费用的；</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（4）擅自改变租赁物用途或利用租赁物进行违法活动的；</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（5）未经甲方同意，擅自对租赁物重新装修、加建搭建施工的；</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（6）未经甲方同意，擅自转租、分租租赁物的；</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（7）一次性向任一分租户收取超过一期租赁应缴款后，刻意隐瞒或拒绝向甲方支付同等期数的租赁应缴款的；</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（8）未为租赁物购买财产综合险超过60日的；</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（9）乙方其他行为严重损害甲方利益，或者导致合同目的不能实现的。</w:t>
      </w:r>
    </w:p>
    <w:p>
      <w:pPr>
        <w:keepNext w:val="0"/>
        <w:keepLines w:val="0"/>
        <w:pageBreakBefore w:val="0"/>
        <w:widowControl w:val="0"/>
        <w:kinsoku/>
        <w:wordWrap/>
        <w:overflowPunct/>
        <w:topLinePunct w:val="0"/>
        <w:autoSpaceDE/>
        <w:autoSpaceDN/>
        <w:bidi w:val="0"/>
        <w:adjustRightInd/>
        <w:snapToGrid/>
        <w:spacing w:before="120" w:line="400" w:lineRule="exact"/>
        <w:ind w:firstLine="640" w:firstLineChars="200"/>
        <w:textAlignment w:val="auto"/>
        <w:rPr>
          <w:rFonts w:hint="eastAsia" w:ascii="黑体" w:hAnsi="黑体" w:eastAsia="黑体" w:cs="黑体"/>
          <w:b w:val="0"/>
          <w:bCs w:val="0"/>
          <w:color w:val="auto"/>
          <w:sz w:val="32"/>
          <w:szCs w:val="32"/>
          <w:highlight w:val="none"/>
          <w:u w:val="none"/>
          <w:lang w:val="en-US" w:eastAsia="zh-CN"/>
        </w:rPr>
      </w:pPr>
      <w:r>
        <w:rPr>
          <w:rFonts w:hint="eastAsia" w:ascii="黑体" w:hAnsi="黑体" w:eastAsia="黑体" w:cs="黑体"/>
          <w:b w:val="0"/>
          <w:bCs w:val="0"/>
          <w:color w:val="auto"/>
          <w:sz w:val="32"/>
          <w:szCs w:val="32"/>
          <w:highlight w:val="none"/>
          <w:u w:val="none"/>
          <w:lang w:val="en-US" w:eastAsia="zh-CN"/>
        </w:rPr>
        <w:t>十三、违约责任</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1.乙方未按照法律法规或违反本合同约定构成根本违约的，甲方有权单方解除合同，收回租赁物并处理租赁物内一切物品，乙方所交的合同履约保证金将不予退回。如造成甲方损失的，甲方有权向乙方追偿或索赔。</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2.乙方有下列情形之一的，甲方有权收回租赁物并处理租赁物内一切物品，乙方所交的合同履约保证金将不予退回。如造成甲方损失的，甲方有权向乙方追偿或索赔：</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default"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（1）因乙方违约导致合同解除的；</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（2）返还租赁物和有关设施设备时，未根据甲方要求保留或拆除装饰装修物或设备设施的；</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default"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（3）合同期满或解除后，逾期交还租赁物的。</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3.乙方逾期支付合同约定款项（包括但不限于租赁应缴款、基础设施维护费、卫生费、水电费等）的，每逾期一日，乙方需按所欠款项的2‰向甲方支付违约金。甲方有权向乙方追偿其逾期未缴纳的一切费用。</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color w:val="auto"/>
          <w:lang w:val="en-US" w:eastAsia="zh-CN"/>
        </w:rPr>
      </w:pPr>
      <w:r>
        <w:rPr>
          <w:rFonts w:hint="eastAsia" w:ascii="仿宋_GB2312" w:hAnsi="仿宋_GB2312" w:eastAsia="仿宋_GB2312" w:cs="仿宋_GB2312"/>
          <w:b w:val="0"/>
          <w:bCs w:val="0"/>
          <w:color w:val="auto"/>
          <w:sz w:val="32"/>
          <w:szCs w:val="32"/>
          <w:highlight w:val="none"/>
          <w:u w:val="none"/>
          <w:lang w:val="en-US" w:eastAsia="zh-CN"/>
        </w:rPr>
        <w:t>4.因乙方原因导致甲方垫付其他费用（包括但不限于水费、电费、工资等）的，乙方应返还甲方垫付的款项，并按甲方垫付金额每日2‰计付利息给甲方。</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5.因一方违约，导致对方通过法律途径维护自身合法权益的，违约方应承担守约方维权所支出的合理费用（包括但不限于律师费、诉讼费、财产保全费、保函费（担保费）等）。</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6.本合同履行期限内，乙方有违约情形的，丧失优先承租权。</w:t>
      </w:r>
    </w:p>
    <w:p>
      <w:pPr>
        <w:keepNext w:val="0"/>
        <w:keepLines w:val="0"/>
        <w:pageBreakBefore w:val="0"/>
        <w:widowControl w:val="0"/>
        <w:kinsoku/>
        <w:wordWrap/>
        <w:overflowPunct/>
        <w:topLinePunct w:val="0"/>
        <w:autoSpaceDE/>
        <w:autoSpaceDN/>
        <w:bidi w:val="0"/>
        <w:adjustRightInd/>
        <w:snapToGrid/>
        <w:spacing w:before="120" w:line="400" w:lineRule="exact"/>
        <w:ind w:firstLine="640" w:firstLineChars="200"/>
        <w:textAlignment w:val="auto"/>
        <w:rPr>
          <w:rFonts w:hint="eastAsia" w:ascii="黑体" w:hAnsi="黑体" w:eastAsia="黑体" w:cs="黑体"/>
          <w:b w:val="0"/>
          <w:bCs w:val="0"/>
          <w:color w:val="auto"/>
          <w:sz w:val="32"/>
          <w:szCs w:val="32"/>
          <w:highlight w:val="none"/>
          <w:u w:val="none"/>
          <w:lang w:val="en-US" w:eastAsia="zh-CN"/>
        </w:rPr>
      </w:pPr>
      <w:r>
        <w:rPr>
          <w:rFonts w:hint="eastAsia" w:ascii="黑体" w:hAnsi="黑体" w:eastAsia="黑体" w:cs="黑体"/>
          <w:b w:val="0"/>
          <w:bCs w:val="0"/>
          <w:color w:val="auto"/>
          <w:sz w:val="32"/>
          <w:szCs w:val="32"/>
          <w:highlight w:val="none"/>
          <w:u w:val="none"/>
          <w:lang w:val="en-US" w:eastAsia="zh-CN"/>
        </w:rPr>
        <w:t>十四、通知送达</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本合同载明的联系地址为双方有效通知送达地址且为司法文件送达地址。一方变更通知送达地址的，应及时书面通知另一方，如未及时通知对方，自行承担不利后果，所有文件一经投递至该地址即视为有效送达。</w:t>
      </w:r>
    </w:p>
    <w:p>
      <w:pPr>
        <w:keepNext w:val="0"/>
        <w:keepLines w:val="0"/>
        <w:pageBreakBefore w:val="0"/>
        <w:widowControl w:val="0"/>
        <w:kinsoku/>
        <w:wordWrap/>
        <w:overflowPunct/>
        <w:topLinePunct w:val="0"/>
        <w:autoSpaceDE/>
        <w:autoSpaceDN/>
        <w:bidi w:val="0"/>
        <w:adjustRightInd/>
        <w:snapToGrid/>
        <w:spacing w:before="120" w:line="400" w:lineRule="exact"/>
        <w:ind w:firstLine="640" w:firstLineChars="200"/>
        <w:textAlignment w:val="auto"/>
        <w:rPr>
          <w:rFonts w:hint="eastAsia" w:ascii="黑体" w:hAnsi="黑体" w:eastAsia="黑体" w:cs="黑体"/>
          <w:b w:val="0"/>
          <w:bCs w:val="0"/>
          <w:color w:val="auto"/>
          <w:sz w:val="32"/>
          <w:szCs w:val="32"/>
          <w:highlight w:val="none"/>
          <w:u w:val="none"/>
          <w:lang w:val="en-US" w:eastAsia="zh-CN"/>
        </w:rPr>
      </w:pPr>
      <w:r>
        <w:rPr>
          <w:rFonts w:hint="eastAsia" w:ascii="黑体" w:hAnsi="黑体" w:eastAsia="黑体" w:cs="黑体"/>
          <w:b w:val="0"/>
          <w:bCs w:val="0"/>
          <w:color w:val="auto"/>
          <w:sz w:val="32"/>
          <w:szCs w:val="32"/>
          <w:highlight w:val="none"/>
          <w:u w:val="none"/>
          <w:lang w:val="en-US" w:eastAsia="zh-CN"/>
        </w:rPr>
        <w:t>十五、争议解决</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双方在履行本合同过程中发生争议的，应协商解决，不愿协商或协商不成的，可以向广州市番禺区人民法院提起诉讼。</w:t>
      </w:r>
    </w:p>
    <w:p>
      <w:pPr>
        <w:keepNext w:val="0"/>
        <w:keepLines w:val="0"/>
        <w:pageBreakBefore w:val="0"/>
        <w:widowControl w:val="0"/>
        <w:kinsoku/>
        <w:wordWrap/>
        <w:overflowPunct/>
        <w:topLinePunct w:val="0"/>
        <w:autoSpaceDE/>
        <w:autoSpaceDN/>
        <w:bidi w:val="0"/>
        <w:adjustRightInd/>
        <w:snapToGrid/>
        <w:spacing w:before="120" w:line="400" w:lineRule="exact"/>
        <w:ind w:firstLine="640" w:firstLineChars="200"/>
        <w:textAlignment w:val="auto"/>
        <w:rPr>
          <w:rFonts w:hint="eastAsia" w:ascii="黑体" w:hAnsi="黑体" w:eastAsia="黑体" w:cs="黑体"/>
          <w:b w:val="0"/>
          <w:bCs w:val="0"/>
          <w:color w:val="auto"/>
          <w:sz w:val="32"/>
          <w:szCs w:val="32"/>
          <w:highlight w:val="none"/>
          <w:u w:val="none"/>
          <w:lang w:val="en-US" w:eastAsia="zh-CN"/>
        </w:rPr>
      </w:pPr>
      <w:r>
        <w:rPr>
          <w:rFonts w:hint="eastAsia" w:ascii="黑体" w:hAnsi="黑体" w:eastAsia="黑体" w:cs="黑体"/>
          <w:b w:val="0"/>
          <w:bCs w:val="0"/>
          <w:color w:val="auto"/>
          <w:sz w:val="32"/>
          <w:szCs w:val="32"/>
          <w:highlight w:val="none"/>
          <w:u w:val="none"/>
          <w:lang w:val="en-US" w:eastAsia="zh-CN"/>
        </w:rPr>
        <w:t>十六、其他条款</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1.本合同如有未尽事宜，经双方协商签订补充办议，补充协议与本合同具有同等的法律效力。</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2.本协议附件与本协议具有同等法律效力。</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3.租赁期满，租赁物按当时有关规定进行管理与交易，乙方在同等条件下有优先承租权。</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4.本合同一式肆份，甲方、乙方、大龙街农村集体资产交易中心及结算中心各持一份，自甲乙双方签字或盖章之日起发生法律效力。各份均具同等法律效力。</w:t>
      </w: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p>
    <w:p>
      <w:pPr>
        <w:keepNext w:val="0"/>
        <w:keepLines w:val="0"/>
        <w:pageBreakBefore w:val="0"/>
        <w:widowControl w:val="0"/>
        <w:kinsoku/>
        <w:wordWrap/>
        <w:overflowPunct/>
        <w:topLinePunct w:val="0"/>
        <w:autoSpaceDE/>
        <w:autoSpaceDN/>
        <w:bidi w:val="0"/>
        <w:adjustRightInd/>
        <w:snapToGrid/>
        <w:spacing w:line="400" w:lineRule="exact"/>
        <w:ind w:firstLine="640" w:firstLineChars="200"/>
        <w:textAlignment w:val="auto"/>
        <w:rPr>
          <w:rFonts w:hint="eastAsia" w:ascii="仿宋_GB2312" w:hAnsi="仿宋_GB2312" w:eastAsia="仿宋_GB2312" w:cs="仿宋_GB2312"/>
          <w:b w:val="0"/>
          <w:bCs w:val="0"/>
          <w:color w:val="auto"/>
          <w:sz w:val="32"/>
          <w:szCs w:val="32"/>
          <w:highlight w:val="none"/>
          <w:u w:val="none"/>
          <w:lang w:val="en-US" w:eastAsia="zh-CN"/>
        </w:rPr>
      </w:pPr>
      <w:r>
        <w:rPr>
          <w:rFonts w:hint="eastAsia" w:ascii="仿宋_GB2312" w:hAnsi="仿宋_GB2312" w:eastAsia="仿宋_GB2312" w:cs="仿宋_GB2312"/>
          <w:b w:val="0"/>
          <w:bCs w:val="0"/>
          <w:color w:val="auto"/>
          <w:sz w:val="32"/>
          <w:szCs w:val="32"/>
          <w:highlight w:val="none"/>
          <w:u w:val="none"/>
          <w:lang w:val="en-US" w:eastAsia="zh-CN"/>
        </w:rPr>
        <w:t>附件: 乙方公司执照及法人代表身份证复印件或个人身份证复印件</w:t>
      </w:r>
    </w:p>
    <w:p>
      <w:pPr>
        <w:pStyle w:val="2"/>
        <w:keepNext w:val="0"/>
        <w:keepLines w:val="0"/>
        <w:pageBreakBefore w:val="0"/>
        <w:widowControl w:val="0"/>
        <w:kinsoku/>
        <w:wordWrap/>
        <w:overflowPunct/>
        <w:topLinePunct w:val="0"/>
        <w:autoSpaceDE/>
        <w:autoSpaceDN/>
        <w:bidi w:val="0"/>
        <w:adjustRightInd/>
        <w:snapToGrid/>
        <w:spacing w:after="0" w:line="400" w:lineRule="exact"/>
        <w:ind w:left="0" w:leftChars="0" w:firstLine="0" w:firstLineChars="0"/>
        <w:textAlignment w:val="auto"/>
        <w:rPr>
          <w:rFonts w:hint="eastAsia"/>
          <w:color w:val="auto"/>
          <w:sz w:val="32"/>
          <w:szCs w:val="32"/>
          <w:highlight w:val="yellow"/>
        </w:rPr>
      </w:pPr>
    </w:p>
    <w:tbl>
      <w:tblPr>
        <w:tblStyle w:val="6"/>
        <w:tblW w:w="10204" w:type="dxa"/>
        <w:jc w:val="center"/>
        <w:tblLayout w:type="fixed"/>
        <w:tblCellMar>
          <w:top w:w="0" w:type="dxa"/>
          <w:left w:w="108" w:type="dxa"/>
          <w:bottom w:w="0" w:type="dxa"/>
          <w:right w:w="108" w:type="dxa"/>
        </w:tblCellMar>
      </w:tblPr>
      <w:tblGrid>
        <w:gridCol w:w="1030"/>
        <w:gridCol w:w="4072"/>
        <w:gridCol w:w="1043"/>
        <w:gridCol w:w="4059"/>
      </w:tblGrid>
      <w:tr>
        <w:tblPrEx>
          <w:tblCellMar>
            <w:top w:w="0" w:type="dxa"/>
            <w:left w:w="108" w:type="dxa"/>
            <w:bottom w:w="0" w:type="dxa"/>
            <w:right w:w="108" w:type="dxa"/>
          </w:tblCellMar>
        </w:tblPrEx>
        <w:trPr>
          <w:trHeight w:val="1134" w:hRule="atLeast"/>
          <w:jc w:val="center"/>
        </w:trPr>
        <w:tc>
          <w:tcPr>
            <w:tcW w:w="1030" w:type="dxa"/>
            <w:noWrap w:val="0"/>
            <w:vAlign w:val="center"/>
          </w:tcPr>
          <w:p>
            <w:pPr>
              <w:pStyle w:val="2"/>
              <w:keepNext w:val="0"/>
              <w:keepLines w:val="0"/>
              <w:pageBreakBefore w:val="0"/>
              <w:widowControl w:val="0"/>
              <w:kinsoku/>
              <w:wordWrap/>
              <w:overflowPunct/>
              <w:topLinePunct w:val="0"/>
              <w:autoSpaceDE/>
              <w:autoSpaceDN/>
              <w:bidi w:val="0"/>
              <w:adjustRightInd/>
              <w:snapToGrid/>
              <w:spacing w:after="0" w:line="400" w:lineRule="exact"/>
              <w:ind w:firstLine="0" w:firstLine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甲方：</w:t>
            </w:r>
          </w:p>
        </w:tc>
        <w:tc>
          <w:tcPr>
            <w:tcW w:w="4072" w:type="dxa"/>
            <w:noWrap w:val="0"/>
            <w:vAlign w:val="center"/>
          </w:tcPr>
          <w:p>
            <w:pPr>
              <w:pStyle w:val="2"/>
              <w:keepNext w:val="0"/>
              <w:keepLines w:val="0"/>
              <w:pageBreakBefore w:val="0"/>
              <w:widowControl w:val="0"/>
              <w:kinsoku/>
              <w:wordWrap/>
              <w:overflowPunct/>
              <w:topLinePunct w:val="0"/>
              <w:autoSpaceDE/>
              <w:autoSpaceDN/>
              <w:bidi w:val="0"/>
              <w:adjustRightInd/>
              <w:snapToGrid/>
              <w:spacing w:after="0" w:line="400" w:lineRule="exact"/>
              <w:ind w:firstLine="0" w:firstLine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广州市番禺区大龙街新桥村股份合作经济社</w:t>
            </w:r>
          </w:p>
        </w:tc>
        <w:tc>
          <w:tcPr>
            <w:tcW w:w="1043" w:type="dxa"/>
            <w:noWrap w:val="0"/>
            <w:vAlign w:val="center"/>
          </w:tcPr>
          <w:p>
            <w:pPr>
              <w:pStyle w:val="2"/>
              <w:keepNext w:val="0"/>
              <w:keepLines w:val="0"/>
              <w:pageBreakBefore w:val="0"/>
              <w:widowControl w:val="0"/>
              <w:kinsoku/>
              <w:wordWrap/>
              <w:overflowPunct/>
              <w:topLinePunct w:val="0"/>
              <w:autoSpaceDE/>
              <w:autoSpaceDN/>
              <w:bidi w:val="0"/>
              <w:adjustRightInd/>
              <w:snapToGrid/>
              <w:spacing w:after="0" w:line="400" w:lineRule="exact"/>
              <w:ind w:firstLine="0" w:firstLine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乙方：</w:t>
            </w:r>
          </w:p>
        </w:tc>
        <w:tc>
          <w:tcPr>
            <w:tcW w:w="4059" w:type="dxa"/>
            <w:noWrap w:val="0"/>
            <w:vAlign w:val="center"/>
          </w:tcPr>
          <w:p>
            <w:pPr>
              <w:pStyle w:val="2"/>
              <w:keepNext w:val="0"/>
              <w:keepLines w:val="0"/>
              <w:pageBreakBefore w:val="0"/>
              <w:widowControl w:val="0"/>
              <w:kinsoku/>
              <w:wordWrap/>
              <w:overflowPunct/>
              <w:topLinePunct w:val="0"/>
              <w:autoSpaceDE/>
              <w:autoSpaceDN/>
              <w:bidi w:val="0"/>
              <w:adjustRightInd/>
              <w:snapToGrid/>
              <w:spacing w:after="0" w:line="400" w:lineRule="exact"/>
              <w:ind w:firstLine="280"/>
              <w:textAlignment w:val="auto"/>
              <w:rPr>
                <w:rFonts w:hint="eastAsia" w:ascii="仿宋_GB2312" w:hAnsi="仿宋_GB2312" w:eastAsia="仿宋_GB2312" w:cs="仿宋_GB2312"/>
                <w:color w:val="auto"/>
                <w:sz w:val="32"/>
                <w:szCs w:val="32"/>
                <w:highlight w:val="none"/>
              </w:rPr>
            </w:pPr>
          </w:p>
        </w:tc>
      </w:tr>
      <w:tr>
        <w:tblPrEx>
          <w:tblCellMar>
            <w:top w:w="0" w:type="dxa"/>
            <w:left w:w="108" w:type="dxa"/>
            <w:bottom w:w="0" w:type="dxa"/>
            <w:right w:w="108" w:type="dxa"/>
          </w:tblCellMar>
        </w:tblPrEx>
        <w:trPr>
          <w:trHeight w:val="1134" w:hRule="atLeast"/>
          <w:jc w:val="center"/>
        </w:trPr>
        <w:tc>
          <w:tcPr>
            <w:tcW w:w="5102"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法定代表人：</w:t>
            </w:r>
          </w:p>
        </w:tc>
        <w:tc>
          <w:tcPr>
            <w:tcW w:w="5102"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法定代表人：</w:t>
            </w:r>
          </w:p>
        </w:tc>
      </w:tr>
      <w:tr>
        <w:tblPrEx>
          <w:tblCellMar>
            <w:top w:w="0" w:type="dxa"/>
            <w:left w:w="108" w:type="dxa"/>
            <w:bottom w:w="0" w:type="dxa"/>
            <w:right w:w="108" w:type="dxa"/>
          </w:tblCellMar>
        </w:tblPrEx>
        <w:trPr>
          <w:trHeight w:val="1134" w:hRule="atLeast"/>
          <w:jc w:val="center"/>
        </w:trPr>
        <w:tc>
          <w:tcPr>
            <w:tcW w:w="5102"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日期：</w:t>
            </w:r>
          </w:p>
        </w:tc>
        <w:tc>
          <w:tcPr>
            <w:tcW w:w="5102"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日期：</w:t>
            </w:r>
          </w:p>
        </w:tc>
      </w:tr>
    </w:tbl>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仿宋_GB2312" w:hAnsi="仿宋_GB2312" w:eastAsia="仿宋_GB2312" w:cs="仿宋_GB2312"/>
          <w:b w:val="0"/>
          <w:bCs w:val="0"/>
          <w:color w:val="auto"/>
          <w:sz w:val="32"/>
          <w:szCs w:val="32"/>
          <w:highlight w:val="none"/>
          <w:u w:val="none"/>
          <w:lang w:val="en-US" w:eastAsia="zh-CN"/>
        </w:rPr>
      </w:pPr>
    </w:p>
    <w:sectPr>
      <w:footerReference r:id="rId3" w:type="default"/>
      <w:pgSz w:w="11906" w:h="16838"/>
      <w:pgMar w:top="1440" w:right="1633" w:bottom="1440" w:left="1746"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2000000000000000000"/>
    <w:charset w:val="86"/>
    <w:family w:val="auto"/>
    <w:pitch w:val="default"/>
    <w:sig w:usb0="00000000" w:usb1="00000000" w:usb2="00000012"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0MmYwOGQwMWMzOGE1MjBjNjIzM2Y1OGQ5NDUzNDcifQ=="/>
    <w:docVar w:name="KSO_WPS_MARK_KEY" w:val="6a0cf390-0859-4d59-b81e-7fbbbb433944"/>
  </w:docVars>
  <w:rsids>
    <w:rsidRoot w:val="03F97D8E"/>
    <w:rsid w:val="008B5F22"/>
    <w:rsid w:val="02D200E5"/>
    <w:rsid w:val="03F97D8E"/>
    <w:rsid w:val="05A46702"/>
    <w:rsid w:val="06666B38"/>
    <w:rsid w:val="072763E1"/>
    <w:rsid w:val="08E055AD"/>
    <w:rsid w:val="0BBF5C02"/>
    <w:rsid w:val="0BC43E64"/>
    <w:rsid w:val="0E974E90"/>
    <w:rsid w:val="1183322E"/>
    <w:rsid w:val="138C7AEE"/>
    <w:rsid w:val="138E679A"/>
    <w:rsid w:val="18E625F0"/>
    <w:rsid w:val="19EC0A79"/>
    <w:rsid w:val="1B0768AE"/>
    <w:rsid w:val="1C49716D"/>
    <w:rsid w:val="1CDE3DC2"/>
    <w:rsid w:val="1DFC5003"/>
    <w:rsid w:val="1FF71F26"/>
    <w:rsid w:val="2123059C"/>
    <w:rsid w:val="21976191"/>
    <w:rsid w:val="248B7B1A"/>
    <w:rsid w:val="24B1711E"/>
    <w:rsid w:val="252E3D56"/>
    <w:rsid w:val="269D7213"/>
    <w:rsid w:val="2809034C"/>
    <w:rsid w:val="291528C1"/>
    <w:rsid w:val="29AE232E"/>
    <w:rsid w:val="2BB952F4"/>
    <w:rsid w:val="2C9E2ACF"/>
    <w:rsid w:val="2D3E7C34"/>
    <w:rsid w:val="2D5C5C8D"/>
    <w:rsid w:val="2EDA46D8"/>
    <w:rsid w:val="32D33187"/>
    <w:rsid w:val="32D560F7"/>
    <w:rsid w:val="32E33A9A"/>
    <w:rsid w:val="33B4035B"/>
    <w:rsid w:val="36FE6E8E"/>
    <w:rsid w:val="38B672CE"/>
    <w:rsid w:val="3B0651A7"/>
    <w:rsid w:val="3EC24109"/>
    <w:rsid w:val="3ECA2888"/>
    <w:rsid w:val="463229C4"/>
    <w:rsid w:val="4B50586C"/>
    <w:rsid w:val="4C0A0CDA"/>
    <w:rsid w:val="4D1F7AC5"/>
    <w:rsid w:val="4FE47701"/>
    <w:rsid w:val="50036D9A"/>
    <w:rsid w:val="50376F69"/>
    <w:rsid w:val="507E34D2"/>
    <w:rsid w:val="54E50266"/>
    <w:rsid w:val="54FC5FD4"/>
    <w:rsid w:val="579A74EE"/>
    <w:rsid w:val="59167FC4"/>
    <w:rsid w:val="59C16F84"/>
    <w:rsid w:val="5BD266CE"/>
    <w:rsid w:val="5F1C0998"/>
    <w:rsid w:val="5F856825"/>
    <w:rsid w:val="630A0DF3"/>
    <w:rsid w:val="63B67609"/>
    <w:rsid w:val="65663AFD"/>
    <w:rsid w:val="66607649"/>
    <w:rsid w:val="6B930D5B"/>
    <w:rsid w:val="6CCD78BE"/>
    <w:rsid w:val="715F2A54"/>
    <w:rsid w:val="760616F0"/>
    <w:rsid w:val="76D63FAB"/>
    <w:rsid w:val="7A777E85"/>
    <w:rsid w:val="7BD473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qFormat/>
    <w:uiPriority w:val="0"/>
    <w:pPr>
      <w:spacing w:after="12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正文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0">
    <w:name w:val="超链接 New"/>
    <w:basedOn w:val="8"/>
    <w:qFormat/>
    <w:uiPriority w:val="0"/>
    <w:rPr>
      <w:color w:val="0000FF"/>
      <w:u w:val="single"/>
    </w:rPr>
  </w:style>
  <w:style w:type="paragraph" w:customStyle="1" w:styleId="11">
    <w:name w:val="正文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5333</Words>
  <Characters>5446</Characters>
  <Lines>0</Lines>
  <Paragraphs>0</Paragraphs>
  <TotalTime>11</TotalTime>
  <ScaleCrop>false</ScaleCrop>
  <LinksUpToDate>false</LinksUpToDate>
  <CharactersWithSpaces>5450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2023-02-13T02:50:00Z</dcterms:created>
  <dc:creator>JC_F</dc:creator>
  <cp:lastModifiedBy>Cassie</cp:lastModifiedBy>
  <dcterms:modified xsi:type="dcterms:W3CDTF">2024-01-11T01:53:36Z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F603B4549E794C6B85F6A81646A73488_13</vt:lpwstr>
  </property>
</Properties>
</file>